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4E" w:rsidRPr="00D77370" w:rsidRDefault="00F7034E" w:rsidP="00F7034E">
      <w:pPr>
        <w:widowControl/>
        <w:jc w:val="center"/>
        <w:rPr>
          <w:rFonts w:asciiTheme="minorEastAsia" w:eastAsiaTheme="minorEastAsia" w:hAnsiTheme="minorEastAsia"/>
          <w:b/>
          <w:sz w:val="36"/>
          <w:szCs w:val="36"/>
        </w:rPr>
      </w:pPr>
      <w:r w:rsidRPr="00D77370">
        <w:rPr>
          <w:rFonts w:asciiTheme="minorEastAsia" w:eastAsiaTheme="minorEastAsia" w:hAnsiTheme="minorEastAsia" w:hint="eastAsia"/>
          <w:b/>
          <w:sz w:val="36"/>
          <w:szCs w:val="36"/>
        </w:rPr>
        <w:t>第三章 采购内容及要求</w:t>
      </w:r>
    </w:p>
    <w:p w:rsidR="00F7034E" w:rsidRPr="00D77370" w:rsidRDefault="00F7034E" w:rsidP="00F7034E">
      <w:pPr>
        <w:pStyle w:val="a3"/>
        <w:adjustRightInd w:val="0"/>
        <w:snapToGrid w:val="0"/>
        <w:spacing w:line="360" w:lineRule="auto"/>
        <w:jc w:val="center"/>
        <w:outlineLvl w:val="0"/>
        <w:rPr>
          <w:rFonts w:hAnsi="宋体"/>
          <w:b/>
          <w:szCs w:val="21"/>
        </w:rPr>
      </w:pPr>
    </w:p>
    <w:p w:rsidR="00F7034E" w:rsidRPr="00D77370" w:rsidRDefault="00F7034E" w:rsidP="00F7034E">
      <w:pPr>
        <w:pStyle w:val="a3"/>
        <w:adjustRightInd w:val="0"/>
        <w:snapToGrid w:val="0"/>
        <w:spacing w:line="360" w:lineRule="auto"/>
        <w:jc w:val="center"/>
        <w:outlineLvl w:val="0"/>
        <w:rPr>
          <w:rFonts w:hAnsi="宋体"/>
          <w:b/>
          <w:sz w:val="28"/>
          <w:szCs w:val="28"/>
        </w:rPr>
      </w:pPr>
      <w:r w:rsidRPr="00D77370">
        <w:rPr>
          <w:rFonts w:hAnsi="宋体" w:hint="eastAsia"/>
          <w:b/>
          <w:sz w:val="28"/>
          <w:szCs w:val="28"/>
        </w:rPr>
        <w:t>项目概述及技术需求</w:t>
      </w:r>
    </w:p>
    <w:p w:rsidR="00F7034E" w:rsidRPr="00D77370" w:rsidRDefault="00F7034E" w:rsidP="00F7034E">
      <w:pPr>
        <w:spacing w:line="360" w:lineRule="auto"/>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一、货物名称及数量：</w:t>
      </w:r>
      <w:r w:rsidRPr="00D77370">
        <w:rPr>
          <w:rFonts w:ascii="宋体" w:hAnsi="宋体" w:cs="宋体" w:hint="eastAsia"/>
          <w:sz w:val="24"/>
        </w:rPr>
        <w:t>血液保存液（ACD-A）</w:t>
      </w:r>
      <w:r w:rsidRPr="00D77370">
        <w:rPr>
          <w:rFonts w:asciiTheme="minorEastAsia" w:eastAsiaTheme="minorEastAsia" w:hAnsiTheme="minorEastAsia" w:cs="宋体" w:hint="eastAsia"/>
          <w:sz w:val="24"/>
          <w:szCs w:val="24"/>
        </w:rPr>
        <w:t xml:space="preserve">/壹批 </w:t>
      </w:r>
    </w:p>
    <w:p w:rsidR="00F7034E" w:rsidRPr="00D77370" w:rsidRDefault="00F7034E" w:rsidP="00F7034E">
      <w:pPr>
        <w:spacing w:line="360" w:lineRule="auto"/>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二、交货日期：收到采购人通知后，3个月内送货到采购人指定地点。</w:t>
      </w:r>
    </w:p>
    <w:p w:rsidR="00F7034E" w:rsidRPr="00D77370" w:rsidRDefault="00F7034E" w:rsidP="00F7034E">
      <w:pPr>
        <w:spacing w:line="360" w:lineRule="auto"/>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三、交货地点：上海市血液中心</w:t>
      </w:r>
    </w:p>
    <w:p w:rsidR="00F7034E" w:rsidRPr="00D77370" w:rsidRDefault="00F7034E" w:rsidP="00F7034E">
      <w:pPr>
        <w:spacing w:line="360" w:lineRule="auto"/>
        <w:rPr>
          <w:rFonts w:asciiTheme="minorEastAsia" w:eastAsiaTheme="minorEastAsia" w:hAnsiTheme="minorEastAsia"/>
          <w:kern w:val="0"/>
          <w:sz w:val="24"/>
          <w:szCs w:val="24"/>
        </w:rPr>
      </w:pPr>
      <w:r w:rsidRPr="00D77370">
        <w:rPr>
          <w:rFonts w:asciiTheme="minorEastAsia" w:eastAsiaTheme="minorEastAsia" w:hAnsiTheme="minorEastAsia" w:hint="eastAsia"/>
          <w:kern w:val="0"/>
          <w:sz w:val="24"/>
          <w:szCs w:val="24"/>
        </w:rPr>
        <w:t>四、数量要求：36060袋（可根据血液采集量增减采购数量）</w:t>
      </w:r>
    </w:p>
    <w:p w:rsidR="00F7034E" w:rsidRPr="00D77370" w:rsidRDefault="00F7034E" w:rsidP="00F7034E">
      <w:pPr>
        <w:tabs>
          <w:tab w:val="left" w:pos="349"/>
        </w:tabs>
        <w:kinsoku w:val="0"/>
        <w:autoSpaceDE w:val="0"/>
        <w:autoSpaceDN w:val="0"/>
        <w:spacing w:line="360" w:lineRule="auto"/>
        <w:ind w:right="57"/>
        <w:textAlignment w:val="bottom"/>
        <w:rPr>
          <w:rFonts w:asciiTheme="minorEastAsia" w:eastAsiaTheme="minorEastAsia" w:hAnsiTheme="minorEastAsia"/>
          <w:kern w:val="0"/>
          <w:sz w:val="24"/>
          <w:szCs w:val="24"/>
        </w:rPr>
      </w:pPr>
      <w:r w:rsidRPr="00D77370">
        <w:rPr>
          <w:rFonts w:asciiTheme="minorEastAsia" w:eastAsiaTheme="minorEastAsia" w:hAnsiTheme="minorEastAsia" w:cs="宋体" w:hint="eastAsia"/>
          <w:sz w:val="24"/>
          <w:szCs w:val="24"/>
        </w:rPr>
        <w:t>五、</w:t>
      </w:r>
      <w:r w:rsidRPr="00D77370">
        <w:rPr>
          <w:rFonts w:asciiTheme="minorEastAsia" w:eastAsiaTheme="minorEastAsia" w:hAnsiTheme="minorEastAsia" w:hint="eastAsia"/>
          <w:kern w:val="0"/>
          <w:sz w:val="24"/>
          <w:szCs w:val="24"/>
        </w:rPr>
        <w:t>规格：</w:t>
      </w:r>
      <w:r w:rsidRPr="00D77370">
        <w:rPr>
          <w:rFonts w:asciiTheme="minorEastAsia" w:eastAsiaTheme="minorEastAsia" w:hAnsiTheme="minorEastAsia"/>
          <w:kern w:val="0"/>
          <w:sz w:val="24"/>
          <w:szCs w:val="24"/>
        </w:rPr>
        <w:t>500ml</w:t>
      </w:r>
      <w:r w:rsidRPr="00D77370">
        <w:rPr>
          <w:rFonts w:asciiTheme="minorEastAsia" w:eastAsiaTheme="minorEastAsia" w:hAnsiTheme="minorEastAsia" w:hint="eastAsia"/>
          <w:kern w:val="0"/>
          <w:sz w:val="24"/>
          <w:szCs w:val="24"/>
        </w:rPr>
        <w:t>/袋</w:t>
      </w:r>
    </w:p>
    <w:p w:rsidR="00F7034E" w:rsidRPr="00D77370" w:rsidRDefault="00F7034E" w:rsidP="00F7034E">
      <w:pPr>
        <w:tabs>
          <w:tab w:val="left" w:pos="349"/>
        </w:tabs>
        <w:kinsoku w:val="0"/>
        <w:autoSpaceDE w:val="0"/>
        <w:autoSpaceDN w:val="0"/>
        <w:spacing w:line="360" w:lineRule="auto"/>
        <w:ind w:right="57"/>
        <w:textAlignment w:val="bottom"/>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六、主要技术参数：</w:t>
      </w:r>
    </w:p>
    <w:tbl>
      <w:tblPr>
        <w:tblW w:w="5000" w:type="pct"/>
        <w:tblLayout w:type="fixed"/>
        <w:tblLook w:val="04A0"/>
      </w:tblPr>
      <w:tblGrid>
        <w:gridCol w:w="960"/>
        <w:gridCol w:w="7562"/>
      </w:tblGrid>
      <w:tr w:rsidR="00F7034E" w:rsidRPr="00D77370" w:rsidTr="001B7A78">
        <w:trPr>
          <w:trHeight w:val="268"/>
        </w:trPr>
        <w:tc>
          <w:tcPr>
            <w:tcW w:w="563" w:type="pct"/>
            <w:tcBorders>
              <w:top w:val="single" w:sz="4" w:space="0" w:color="auto"/>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1</w:t>
            </w:r>
          </w:p>
        </w:tc>
        <w:tc>
          <w:tcPr>
            <w:tcW w:w="4437" w:type="pct"/>
            <w:tcBorders>
              <w:top w:val="single" w:sz="4" w:space="0" w:color="auto"/>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proofErr w:type="gramStart"/>
            <w:r w:rsidRPr="00D77370">
              <w:rPr>
                <w:rFonts w:asciiTheme="minorEastAsia" w:eastAsiaTheme="minorEastAsia" w:hAnsiTheme="minorEastAsia" w:hint="eastAsia"/>
                <w:sz w:val="24"/>
                <w:szCs w:val="24"/>
              </w:rPr>
              <w:t>袋体组成</w:t>
            </w:r>
            <w:proofErr w:type="gramEnd"/>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单袋，内装血液保存液（Ⅰ）500ml</w:t>
            </w:r>
          </w:p>
        </w:tc>
      </w:tr>
      <w:tr w:rsidR="00F7034E" w:rsidRPr="00D77370" w:rsidTr="001B7A78">
        <w:trPr>
          <w:trHeight w:val="222"/>
        </w:trPr>
        <w:tc>
          <w:tcPr>
            <w:tcW w:w="563" w:type="pct"/>
            <w:tcBorders>
              <w:top w:val="nil"/>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2</w:t>
            </w:r>
          </w:p>
        </w:tc>
        <w:tc>
          <w:tcPr>
            <w:tcW w:w="4437" w:type="pct"/>
            <w:tcBorders>
              <w:top w:val="nil"/>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血袋袋体</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袋</w:t>
            </w:r>
            <w:proofErr w:type="gramStart"/>
            <w:r w:rsidRPr="00D77370">
              <w:rPr>
                <w:rFonts w:asciiTheme="minorEastAsia" w:eastAsiaTheme="minorEastAsia" w:hAnsiTheme="minorEastAsia" w:hint="eastAsia"/>
                <w:sz w:val="24"/>
                <w:szCs w:val="24"/>
              </w:rPr>
              <w:t>体材</w:t>
            </w:r>
            <w:proofErr w:type="gramEnd"/>
            <w:r w:rsidRPr="00D77370">
              <w:rPr>
                <w:rFonts w:asciiTheme="minorEastAsia" w:eastAsiaTheme="minorEastAsia" w:hAnsiTheme="minorEastAsia" w:hint="eastAsia"/>
                <w:sz w:val="24"/>
                <w:szCs w:val="24"/>
              </w:rPr>
              <w:t>料：输血输液用软聚氯乙烯（DEHP增塑）；</w:t>
            </w:r>
          </w:p>
          <w:p w:rsidR="00F7034E" w:rsidRPr="00D77370" w:rsidRDefault="00F7034E" w:rsidP="001B7A78">
            <w:pPr>
              <w:rPr>
                <w:rFonts w:asciiTheme="minorEastAsia" w:eastAsiaTheme="minorEastAsia" w:hAnsiTheme="minorEastAsia"/>
                <w:sz w:val="24"/>
                <w:szCs w:val="24"/>
              </w:rPr>
            </w:pPr>
            <w:proofErr w:type="gramStart"/>
            <w:r w:rsidRPr="00D77370">
              <w:rPr>
                <w:rFonts w:asciiTheme="minorEastAsia" w:eastAsiaTheme="minorEastAsia" w:hAnsiTheme="minorEastAsia" w:hint="eastAsia"/>
                <w:sz w:val="24"/>
                <w:szCs w:val="24"/>
              </w:rPr>
              <w:t>袋体成型</w:t>
            </w:r>
            <w:proofErr w:type="gramEnd"/>
            <w:r w:rsidRPr="00D77370">
              <w:rPr>
                <w:rFonts w:asciiTheme="minorEastAsia" w:eastAsiaTheme="minorEastAsia" w:hAnsiTheme="minorEastAsia" w:hint="eastAsia"/>
                <w:sz w:val="24"/>
                <w:szCs w:val="24"/>
              </w:rPr>
              <w:t>方式：吹塑筒袋；</w:t>
            </w:r>
          </w:p>
          <w:p w:rsidR="00F7034E" w:rsidRPr="00D77370" w:rsidRDefault="00F7034E" w:rsidP="001B7A78">
            <w:pPr>
              <w:rPr>
                <w:rFonts w:asciiTheme="minorEastAsia" w:eastAsiaTheme="minorEastAsia" w:hAnsiTheme="minorEastAsia"/>
                <w:sz w:val="24"/>
                <w:szCs w:val="24"/>
              </w:rPr>
            </w:pPr>
            <w:proofErr w:type="gramStart"/>
            <w:r w:rsidRPr="00D77370">
              <w:rPr>
                <w:rFonts w:asciiTheme="minorEastAsia" w:eastAsiaTheme="minorEastAsia" w:hAnsiTheme="minorEastAsia" w:hint="eastAsia"/>
                <w:sz w:val="24"/>
                <w:szCs w:val="24"/>
              </w:rPr>
              <w:t>袋体外观</w:t>
            </w:r>
            <w:proofErr w:type="gramEnd"/>
            <w:r w:rsidRPr="00D77370">
              <w:rPr>
                <w:rFonts w:asciiTheme="minorEastAsia" w:eastAsiaTheme="minorEastAsia" w:hAnsiTheme="minorEastAsia" w:hint="eastAsia"/>
                <w:sz w:val="24"/>
                <w:szCs w:val="24"/>
              </w:rPr>
              <w:t>：半透明，无杂质；</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血袋膜厚度：单层约0.45mm；</w:t>
            </w:r>
          </w:p>
          <w:p w:rsidR="00F7034E" w:rsidRPr="00D77370" w:rsidRDefault="00F7034E" w:rsidP="001B7A78">
            <w:pPr>
              <w:rPr>
                <w:rFonts w:asciiTheme="minorEastAsia" w:eastAsiaTheme="minorEastAsia" w:hAnsiTheme="minorEastAsia"/>
                <w:sz w:val="24"/>
                <w:szCs w:val="24"/>
              </w:rPr>
            </w:pPr>
            <w:proofErr w:type="gramStart"/>
            <w:r w:rsidRPr="00D77370">
              <w:rPr>
                <w:rFonts w:asciiTheme="minorEastAsia" w:eastAsiaTheme="minorEastAsia" w:hAnsiTheme="minorEastAsia" w:hint="eastAsia"/>
                <w:sz w:val="24"/>
                <w:szCs w:val="24"/>
              </w:rPr>
              <w:t>袋体水蒸汽</w:t>
            </w:r>
            <w:proofErr w:type="gramEnd"/>
            <w:r w:rsidRPr="00D77370">
              <w:rPr>
                <w:rFonts w:asciiTheme="minorEastAsia" w:eastAsiaTheme="minorEastAsia" w:hAnsiTheme="minorEastAsia" w:hint="eastAsia"/>
                <w:sz w:val="24"/>
                <w:szCs w:val="24"/>
              </w:rPr>
              <w:t>透出性能：在指定湿度条件下（2-6℃；50%RH`60%RH），45d,血袋损耗质量分数不大于2%；在血袋及内容物要求存储条件下，血袋寿命其内（2年），水分损耗不大于5%。</w:t>
            </w:r>
          </w:p>
        </w:tc>
      </w:tr>
      <w:tr w:rsidR="00F7034E" w:rsidRPr="00D77370" w:rsidTr="001B7A78">
        <w:trPr>
          <w:trHeight w:val="267"/>
        </w:trPr>
        <w:tc>
          <w:tcPr>
            <w:tcW w:w="563" w:type="pct"/>
            <w:tcBorders>
              <w:top w:val="nil"/>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3</w:t>
            </w:r>
          </w:p>
        </w:tc>
        <w:tc>
          <w:tcPr>
            <w:tcW w:w="4437" w:type="pct"/>
            <w:tcBorders>
              <w:top w:val="nil"/>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导管</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材料：PVC</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外观：透明、柔软、</w:t>
            </w:r>
            <w:proofErr w:type="gramStart"/>
            <w:r w:rsidRPr="00D77370">
              <w:rPr>
                <w:rFonts w:asciiTheme="minorEastAsia" w:eastAsiaTheme="minorEastAsia" w:hAnsiTheme="minorEastAsia" w:hint="eastAsia"/>
                <w:sz w:val="24"/>
                <w:szCs w:val="24"/>
              </w:rPr>
              <w:t>不</w:t>
            </w:r>
            <w:proofErr w:type="gramEnd"/>
            <w:r w:rsidRPr="00D77370">
              <w:rPr>
                <w:rFonts w:asciiTheme="minorEastAsia" w:eastAsiaTheme="minorEastAsia" w:hAnsiTheme="minorEastAsia" w:hint="eastAsia"/>
                <w:sz w:val="24"/>
                <w:szCs w:val="24"/>
              </w:rPr>
              <w:t>打折</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拉力：承受20N拉力，15S不产生泄漏</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管径：3.2*4.6mm</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管壁：0.65`0.70mm</w:t>
            </w:r>
          </w:p>
        </w:tc>
      </w:tr>
      <w:tr w:rsidR="00F7034E" w:rsidRPr="00D77370" w:rsidTr="001B7A78">
        <w:trPr>
          <w:trHeight w:val="267"/>
        </w:trPr>
        <w:tc>
          <w:tcPr>
            <w:tcW w:w="563" w:type="pct"/>
            <w:tcBorders>
              <w:top w:val="nil"/>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4</w:t>
            </w:r>
          </w:p>
        </w:tc>
        <w:tc>
          <w:tcPr>
            <w:tcW w:w="4437" w:type="pct"/>
            <w:tcBorders>
              <w:top w:val="nil"/>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输血插口</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输血插口内径应能满足各类机采耗材抗凝剂穿刺针的使用。</w:t>
            </w:r>
          </w:p>
        </w:tc>
      </w:tr>
      <w:tr w:rsidR="00F7034E" w:rsidRPr="00D77370" w:rsidTr="001B7A78">
        <w:trPr>
          <w:trHeight w:val="267"/>
        </w:trPr>
        <w:tc>
          <w:tcPr>
            <w:tcW w:w="563" w:type="pct"/>
            <w:tcBorders>
              <w:top w:val="nil"/>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5</w:t>
            </w:r>
          </w:p>
        </w:tc>
        <w:tc>
          <w:tcPr>
            <w:tcW w:w="4437" w:type="pct"/>
            <w:tcBorders>
              <w:top w:val="nil"/>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标签</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白色烫印标签（直接烫印在血袋表面）</w:t>
            </w:r>
          </w:p>
        </w:tc>
      </w:tr>
      <w:tr w:rsidR="00F7034E" w:rsidRPr="00D77370" w:rsidTr="001B7A78">
        <w:trPr>
          <w:trHeight w:val="267"/>
        </w:trPr>
        <w:tc>
          <w:tcPr>
            <w:tcW w:w="563" w:type="pct"/>
            <w:tcBorders>
              <w:top w:val="nil"/>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6</w:t>
            </w:r>
          </w:p>
        </w:tc>
        <w:tc>
          <w:tcPr>
            <w:tcW w:w="4437" w:type="pct"/>
            <w:tcBorders>
              <w:top w:val="nil"/>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灭菌方式</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湿热灭菌（高温蒸汽）</w:t>
            </w:r>
          </w:p>
        </w:tc>
      </w:tr>
      <w:tr w:rsidR="00F7034E" w:rsidRPr="00D77370" w:rsidTr="001B7A78">
        <w:trPr>
          <w:trHeight w:val="267"/>
        </w:trPr>
        <w:tc>
          <w:tcPr>
            <w:tcW w:w="563" w:type="pct"/>
            <w:tcBorders>
              <w:top w:val="nil"/>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7</w:t>
            </w:r>
          </w:p>
        </w:tc>
        <w:tc>
          <w:tcPr>
            <w:tcW w:w="4437" w:type="pct"/>
            <w:tcBorders>
              <w:top w:val="nil"/>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无菌有效</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血灭菌之日起2年</w:t>
            </w:r>
          </w:p>
        </w:tc>
      </w:tr>
      <w:tr w:rsidR="00F7034E" w:rsidRPr="00D77370" w:rsidTr="001B7A78">
        <w:trPr>
          <w:trHeight w:val="267"/>
        </w:trPr>
        <w:tc>
          <w:tcPr>
            <w:tcW w:w="563" w:type="pct"/>
            <w:tcBorders>
              <w:top w:val="nil"/>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8</w:t>
            </w:r>
          </w:p>
        </w:tc>
        <w:tc>
          <w:tcPr>
            <w:tcW w:w="4437" w:type="pct"/>
            <w:tcBorders>
              <w:top w:val="nil"/>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储存条件</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避光，阴凉处保存</w:t>
            </w:r>
          </w:p>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注：按照中国药典规定，阴凉处系指不超过20℃</w:t>
            </w:r>
          </w:p>
        </w:tc>
      </w:tr>
      <w:tr w:rsidR="00F7034E" w:rsidRPr="00D77370" w:rsidTr="001B7A78">
        <w:trPr>
          <w:trHeight w:val="648"/>
        </w:trPr>
        <w:tc>
          <w:tcPr>
            <w:tcW w:w="563" w:type="pct"/>
            <w:tcBorders>
              <w:top w:val="single" w:sz="4" w:space="0" w:color="auto"/>
              <w:left w:val="single" w:sz="4" w:space="0" w:color="auto"/>
              <w:bottom w:val="single" w:sz="4" w:space="0" w:color="auto"/>
              <w:right w:val="single" w:sz="4" w:space="0" w:color="auto"/>
            </w:tcBorders>
            <w:shd w:val="clear" w:color="auto" w:fill="auto"/>
            <w:noWrap/>
            <w:hideMark/>
          </w:tcPr>
          <w:p w:rsidR="00F7034E" w:rsidRPr="00D77370" w:rsidRDefault="00F7034E" w:rsidP="001B7A78">
            <w:pPr>
              <w:jc w:val="cente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9</w:t>
            </w:r>
          </w:p>
        </w:tc>
        <w:tc>
          <w:tcPr>
            <w:tcW w:w="4437" w:type="pct"/>
            <w:tcBorders>
              <w:top w:val="single" w:sz="4" w:space="0" w:color="auto"/>
              <w:left w:val="nil"/>
              <w:bottom w:val="single" w:sz="4" w:space="0" w:color="auto"/>
              <w:right w:val="single" w:sz="4" w:space="0" w:color="auto"/>
            </w:tcBorders>
            <w:shd w:val="clear" w:color="auto" w:fill="auto"/>
            <w:noWrap/>
            <w:hideMark/>
          </w:tcPr>
          <w:p w:rsidR="00F7034E" w:rsidRPr="00D77370" w:rsidRDefault="00F7034E" w:rsidP="001B7A78">
            <w:pPr>
              <w:rPr>
                <w:rFonts w:asciiTheme="minorEastAsia" w:eastAsiaTheme="minorEastAsia" w:hAnsiTheme="minorEastAsia"/>
                <w:sz w:val="24"/>
                <w:szCs w:val="24"/>
              </w:rPr>
            </w:pPr>
            <w:proofErr w:type="gramStart"/>
            <w:r w:rsidRPr="00D77370">
              <w:rPr>
                <w:rFonts w:asciiTheme="minorEastAsia" w:eastAsiaTheme="minorEastAsia" w:hAnsiTheme="minorEastAsia" w:hint="eastAsia"/>
                <w:sz w:val="24"/>
                <w:szCs w:val="24"/>
              </w:rPr>
              <w:t>袋体尺寸</w:t>
            </w:r>
            <w:proofErr w:type="gramEnd"/>
            <w:r w:rsidRPr="00D77370">
              <w:rPr>
                <w:rFonts w:asciiTheme="minorEastAsia" w:eastAsiaTheme="minorEastAsia" w:hAnsiTheme="minorEastAsia" w:hint="eastAsia"/>
                <w:sz w:val="24"/>
                <w:szCs w:val="24"/>
              </w:rPr>
              <w:t>数据</w:t>
            </w:r>
          </w:p>
          <w:tbl>
            <w:tblPr>
              <w:tblStyle w:val="a4"/>
              <w:tblW w:w="0" w:type="auto"/>
              <w:tblLayout w:type="fixed"/>
              <w:tblLook w:val="04A0"/>
            </w:tblPr>
            <w:tblGrid>
              <w:gridCol w:w="866"/>
              <w:gridCol w:w="1227"/>
              <w:gridCol w:w="1276"/>
              <w:gridCol w:w="1275"/>
              <w:gridCol w:w="1276"/>
            </w:tblGrid>
            <w:tr w:rsidR="00F7034E" w:rsidRPr="00D77370" w:rsidTr="001B7A78">
              <w:tc>
                <w:tcPr>
                  <w:tcW w:w="866" w:type="dxa"/>
                </w:tcPr>
                <w:p w:rsidR="00F7034E" w:rsidRPr="00D77370" w:rsidRDefault="00F7034E" w:rsidP="001B7A78">
                  <w:pPr>
                    <w:rPr>
                      <w:rFonts w:asciiTheme="minorEastAsia" w:eastAsiaTheme="minorEastAsia" w:hAnsiTheme="minorEastAsia"/>
                      <w:sz w:val="24"/>
                      <w:szCs w:val="24"/>
                    </w:rPr>
                  </w:pPr>
                  <w:proofErr w:type="gramStart"/>
                  <w:r w:rsidRPr="00D77370">
                    <w:rPr>
                      <w:rFonts w:asciiTheme="minorEastAsia" w:eastAsiaTheme="minorEastAsia" w:hAnsiTheme="minorEastAsia" w:hint="eastAsia"/>
                      <w:sz w:val="24"/>
                      <w:szCs w:val="24"/>
                    </w:rPr>
                    <w:t>袋体</w:t>
                  </w:r>
                  <w:proofErr w:type="gramEnd"/>
                </w:p>
              </w:tc>
              <w:tc>
                <w:tcPr>
                  <w:tcW w:w="1227"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内径长度</w:t>
                  </w:r>
                </w:p>
              </w:tc>
              <w:tc>
                <w:tcPr>
                  <w:tcW w:w="1276"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内径宽度</w:t>
                  </w:r>
                </w:p>
              </w:tc>
              <w:tc>
                <w:tcPr>
                  <w:tcW w:w="1275"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外径长度</w:t>
                  </w:r>
                </w:p>
              </w:tc>
              <w:tc>
                <w:tcPr>
                  <w:tcW w:w="1276"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外径宽度</w:t>
                  </w:r>
                </w:p>
              </w:tc>
            </w:tr>
            <w:tr w:rsidR="00F7034E" w:rsidRPr="00D77370" w:rsidTr="001B7A78">
              <w:trPr>
                <w:trHeight w:val="352"/>
              </w:trPr>
              <w:tc>
                <w:tcPr>
                  <w:tcW w:w="866"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500ml</w:t>
                  </w:r>
                </w:p>
              </w:tc>
              <w:tc>
                <w:tcPr>
                  <w:tcW w:w="1227"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180mm</w:t>
                  </w:r>
                </w:p>
              </w:tc>
              <w:tc>
                <w:tcPr>
                  <w:tcW w:w="1276"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120mm</w:t>
                  </w:r>
                </w:p>
              </w:tc>
              <w:tc>
                <w:tcPr>
                  <w:tcW w:w="1275"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210mm</w:t>
                  </w:r>
                </w:p>
              </w:tc>
              <w:tc>
                <w:tcPr>
                  <w:tcW w:w="1276" w:type="dxa"/>
                </w:tcPr>
                <w:p w:rsidR="00F7034E" w:rsidRPr="00D77370" w:rsidRDefault="00F7034E" w:rsidP="001B7A78">
                  <w:pPr>
                    <w:rPr>
                      <w:rFonts w:asciiTheme="minorEastAsia" w:eastAsiaTheme="minorEastAsia" w:hAnsiTheme="minorEastAsia"/>
                      <w:sz w:val="24"/>
                      <w:szCs w:val="24"/>
                    </w:rPr>
                  </w:pPr>
                  <w:r w:rsidRPr="00D77370">
                    <w:rPr>
                      <w:rFonts w:asciiTheme="minorEastAsia" w:eastAsiaTheme="minorEastAsia" w:hAnsiTheme="minorEastAsia" w:hint="eastAsia"/>
                      <w:sz w:val="24"/>
                      <w:szCs w:val="24"/>
                    </w:rPr>
                    <w:t>120mm</w:t>
                  </w:r>
                </w:p>
              </w:tc>
            </w:tr>
          </w:tbl>
          <w:p w:rsidR="00F7034E" w:rsidRPr="00D77370" w:rsidRDefault="00F7034E" w:rsidP="001B7A78">
            <w:pPr>
              <w:rPr>
                <w:rFonts w:asciiTheme="minorEastAsia" w:eastAsiaTheme="minorEastAsia" w:hAnsiTheme="minorEastAsia"/>
                <w:sz w:val="24"/>
                <w:szCs w:val="24"/>
              </w:rPr>
            </w:pPr>
          </w:p>
        </w:tc>
      </w:tr>
    </w:tbl>
    <w:p w:rsidR="00F7034E" w:rsidRPr="00D77370" w:rsidRDefault="00F7034E" w:rsidP="00F7034E">
      <w:pPr>
        <w:spacing w:line="276" w:lineRule="auto"/>
        <w:rPr>
          <w:rFonts w:asciiTheme="minorEastAsia" w:eastAsiaTheme="minorEastAsia" w:hAnsiTheme="minorEastAsia" w:cs="宋体"/>
          <w:sz w:val="24"/>
          <w:szCs w:val="24"/>
        </w:rPr>
      </w:pPr>
    </w:p>
    <w:p w:rsidR="00F7034E" w:rsidRPr="00D77370" w:rsidRDefault="00F7034E" w:rsidP="00F7034E">
      <w:pPr>
        <w:spacing w:line="276" w:lineRule="auto"/>
        <w:rPr>
          <w:rFonts w:asciiTheme="minorEastAsia" w:eastAsiaTheme="minorEastAsia" w:hAnsiTheme="minorEastAsia"/>
          <w:sz w:val="24"/>
          <w:szCs w:val="24"/>
        </w:rPr>
      </w:pPr>
      <w:r w:rsidRPr="00D77370">
        <w:rPr>
          <w:rFonts w:asciiTheme="minorEastAsia" w:eastAsiaTheme="minorEastAsia" w:hAnsiTheme="minorEastAsia" w:cs="宋体" w:hint="eastAsia"/>
          <w:sz w:val="24"/>
          <w:szCs w:val="24"/>
        </w:rPr>
        <w:t>二、</w:t>
      </w:r>
      <w:r w:rsidRPr="00D77370">
        <w:rPr>
          <w:rFonts w:asciiTheme="minorEastAsia" w:eastAsiaTheme="minorEastAsia" w:hAnsiTheme="minorEastAsia" w:hint="eastAsia"/>
          <w:sz w:val="24"/>
          <w:szCs w:val="24"/>
        </w:rPr>
        <w:t>售后服务和其他要求</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8094"/>
      </w:tblGrid>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1.</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响应方应提供服务响应方案，方案至少包括：</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1.1</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对采购人反映的质量情况1小时给出应答的时间，并提供相关的技术支持；</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1.2</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常规情况下24小时内将产品送达采购人指定地点；</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1.3</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应急情况下4小时内将产品送达采购人指定地点。</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1.4</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本项目一次采购分批供货</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★2.</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在上海本地有符合药品管理要求的专用仓库储存成交货物，并按采购方要求进行管理。仓库基本要求包括但不限于：</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2.1</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面积≥150平米的</w:t>
            </w:r>
            <w:proofErr w:type="gramStart"/>
            <w:r w:rsidRPr="00D77370">
              <w:rPr>
                <w:rFonts w:asciiTheme="minorEastAsia" w:eastAsiaTheme="minorEastAsia" w:hAnsiTheme="minorEastAsia" w:cs="宋体" w:hint="eastAsia"/>
                <w:sz w:val="24"/>
                <w:szCs w:val="24"/>
              </w:rPr>
              <w:t>凉暗库</w:t>
            </w:r>
            <w:proofErr w:type="gramEnd"/>
            <w:r w:rsidRPr="00D77370">
              <w:rPr>
                <w:rFonts w:asciiTheme="minorEastAsia" w:eastAsiaTheme="minorEastAsia" w:hAnsiTheme="minorEastAsia" w:cs="宋体" w:hint="eastAsia"/>
                <w:sz w:val="24"/>
                <w:szCs w:val="24"/>
              </w:rPr>
              <w:t>；</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2.2</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温度控制在20℃以下；</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2.3</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仓库内设置防虫防鼠设施；</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2.4</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安装避光窗帘及排风设施：响应人须在响应文件中提供仓库的响应证明文件，如产权证、租赁协议、现场照片等资料。</w:t>
            </w:r>
          </w:p>
        </w:tc>
      </w:tr>
      <w:tr w:rsidR="00F7034E" w:rsidRPr="00D77370" w:rsidTr="001B7A78">
        <w:trPr>
          <w:trHeight w:val="531"/>
        </w:trPr>
        <w:tc>
          <w:tcPr>
            <w:tcW w:w="1101" w:type="dxa"/>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3</w:t>
            </w:r>
          </w:p>
        </w:tc>
        <w:tc>
          <w:tcPr>
            <w:tcW w:w="8094" w:type="dxa"/>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每批次采血袋及耗材因质量原因导致的报废率不得超过6 ‰。响应方在响应文件中须提供相应的赔付方案，赔付金额至少包括响应产品的成交价格和因产品质量问题造成报废的血液。</w:t>
            </w:r>
          </w:p>
        </w:tc>
      </w:tr>
      <w:tr w:rsidR="00F7034E" w:rsidRPr="00D77370" w:rsidTr="001B7A78">
        <w:trPr>
          <w:trHeight w:val="531"/>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4</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响应方提供的相关产品是原厂正规货品，符合国家或地方或行业或企业相关出厂标准。</w:t>
            </w:r>
          </w:p>
        </w:tc>
      </w:tr>
      <w:tr w:rsidR="00F7034E" w:rsidRPr="00D77370" w:rsidTr="001B7A78">
        <w:trPr>
          <w:trHeight w:val="531"/>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5</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响应方提供的产品不符合采购方要求或存在其它质量问题，响应方必须无条件包退包换。</w:t>
            </w:r>
          </w:p>
        </w:tc>
      </w:tr>
      <w:tr w:rsidR="00F7034E" w:rsidRPr="00D77370" w:rsidTr="001B7A78">
        <w:trPr>
          <w:trHeight w:val="531"/>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6</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响应方提供的货物未达到采购文件规定要求，且对采购人造成损失的，由响应方承担一切责任，并赔偿所造成的损失。</w:t>
            </w:r>
          </w:p>
        </w:tc>
      </w:tr>
      <w:tr w:rsidR="00F7034E" w:rsidRPr="00D77370" w:rsidTr="001B7A78">
        <w:trPr>
          <w:trHeight w:val="531"/>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7</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提供针对本采购项目的服务方案：订购及配送流程、库存管理、账款结算、平台服务、缺货情况的处理、管理及质量控制等。</w:t>
            </w:r>
          </w:p>
        </w:tc>
      </w:tr>
      <w:tr w:rsidR="00F7034E" w:rsidRPr="00D77370" w:rsidTr="001B7A78">
        <w:trPr>
          <w:trHeight w:val="531"/>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8</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车辆发生故障等原因无法按时到达目的地，需要有应急措施预案。</w:t>
            </w:r>
          </w:p>
        </w:tc>
      </w:tr>
      <w:tr w:rsidR="00F7034E" w:rsidRPr="00D77370" w:rsidTr="001B7A78">
        <w:trPr>
          <w:trHeight w:val="531"/>
        </w:trPr>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jc w:val="center"/>
              <w:rPr>
                <w:rFonts w:asciiTheme="minorEastAsia" w:eastAsiaTheme="minorEastAsia" w:hAnsiTheme="minorEastAsia" w:cs="宋体"/>
                <w:sz w:val="24"/>
                <w:szCs w:val="24"/>
              </w:rPr>
            </w:pPr>
            <w:r w:rsidRPr="00D77370">
              <w:rPr>
                <w:rFonts w:asciiTheme="minorEastAsia" w:eastAsiaTheme="minorEastAsia" w:hAnsiTheme="minorEastAsia" w:cs="宋体" w:hint="eastAsia"/>
                <w:sz w:val="24"/>
                <w:szCs w:val="24"/>
              </w:rPr>
              <w:t>★9</w:t>
            </w:r>
          </w:p>
        </w:tc>
        <w:tc>
          <w:tcPr>
            <w:tcW w:w="8094" w:type="dxa"/>
            <w:tcBorders>
              <w:top w:val="single" w:sz="4" w:space="0" w:color="auto"/>
              <w:left w:val="single" w:sz="4" w:space="0" w:color="auto"/>
              <w:bottom w:val="single" w:sz="4" w:space="0" w:color="auto"/>
              <w:right w:val="single" w:sz="4" w:space="0" w:color="auto"/>
            </w:tcBorders>
            <w:shd w:val="clear" w:color="auto" w:fill="FFFFFF"/>
            <w:vAlign w:val="center"/>
          </w:tcPr>
          <w:p w:rsidR="00F7034E" w:rsidRPr="00D77370" w:rsidRDefault="00F7034E" w:rsidP="001B7A78">
            <w:pPr>
              <w:rPr>
                <w:rFonts w:asciiTheme="minorEastAsia" w:eastAsiaTheme="minorEastAsia" w:hAnsiTheme="minorEastAsia" w:cs="宋体"/>
                <w:sz w:val="24"/>
                <w:szCs w:val="24"/>
              </w:rPr>
            </w:pPr>
            <w:r w:rsidRPr="00D77370">
              <w:rPr>
                <w:rFonts w:ascii="宋体" w:hAnsi="宋体" w:cs="宋体" w:hint="eastAsia"/>
                <w:color w:val="000000"/>
                <w:kern w:val="0"/>
                <w:szCs w:val="21"/>
              </w:rPr>
              <w:t>提供产品所涉及国家或地方食品药品监督管理局颁发的证书、许可证等相关证照。</w:t>
            </w:r>
          </w:p>
        </w:tc>
      </w:tr>
    </w:tbl>
    <w:p w:rsidR="00F7034E" w:rsidRPr="00D77370" w:rsidRDefault="00F7034E" w:rsidP="00F7034E">
      <w:pPr>
        <w:widowControl/>
        <w:jc w:val="left"/>
        <w:rPr>
          <w:rFonts w:ascii="宋体" w:hAnsi="宋体" w:cstheme="minorBidi"/>
          <w:b/>
          <w:szCs w:val="21"/>
        </w:rPr>
      </w:pPr>
    </w:p>
    <w:p w:rsidR="002B2A33" w:rsidRPr="00F7034E" w:rsidRDefault="002B2A33" w:rsidP="00F7034E">
      <w:pPr>
        <w:widowControl/>
        <w:jc w:val="left"/>
        <w:rPr>
          <w:rFonts w:asciiTheme="minorEastAsia" w:eastAsiaTheme="minorEastAsia" w:hAnsiTheme="minorEastAsia"/>
          <w:b/>
          <w:sz w:val="36"/>
        </w:rPr>
      </w:pPr>
    </w:p>
    <w:sectPr w:rsidR="002B2A33" w:rsidRPr="00F7034E"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34E"/>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34E"/>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4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纯文本 Char1"/>
    <w:aliases w:val="普通文字 Char Char1,纯文本 Char Char Char,普通文字 Char Char Char,Char1 Char,普通文字 Char1,纯文本 Char Char Char Char Char Char,纯文本 Char Char Char Char Char1,纯文本 Char Char Char Char Char Char Char Char"/>
    <w:link w:val="a3"/>
    <w:qFormat/>
    <w:locked/>
    <w:rsid w:val="00F7034E"/>
    <w:rPr>
      <w:rFonts w:ascii="宋体" w:eastAsia="宋体" w:hAnsi="Courier New"/>
    </w:rPr>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1"/>
    <w:unhideWhenUsed/>
    <w:qFormat/>
    <w:rsid w:val="00F7034E"/>
    <w:rPr>
      <w:rFonts w:ascii="宋体" w:hAnsi="Courier New" w:cstheme="minorBidi"/>
      <w:szCs w:val="22"/>
    </w:rPr>
  </w:style>
  <w:style w:type="character" w:customStyle="1" w:styleId="Char">
    <w:name w:val="纯文本 Char"/>
    <w:basedOn w:val="a0"/>
    <w:link w:val="a3"/>
    <w:uiPriority w:val="99"/>
    <w:semiHidden/>
    <w:rsid w:val="00F7034E"/>
    <w:rPr>
      <w:rFonts w:ascii="宋体" w:eastAsia="宋体" w:hAnsi="Courier New" w:cs="Courier New"/>
      <w:szCs w:val="21"/>
    </w:rPr>
  </w:style>
  <w:style w:type="table" w:styleId="a4">
    <w:name w:val="Table Grid"/>
    <w:basedOn w:val="a1"/>
    <w:uiPriority w:val="59"/>
    <w:rsid w:val="00F7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Company>微软中国</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2020-03-10T06:49:00Z</dcterms:created>
  <dcterms:modified xsi:type="dcterms:W3CDTF">2020-03-10T06:50:00Z</dcterms:modified>
</cp:coreProperties>
</file>