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718" w:rsidRDefault="00AE6718" w:rsidP="00AE6718">
      <w:pPr>
        <w:widowControl/>
        <w:jc w:val="center"/>
        <w:rPr>
          <w:rFonts w:asciiTheme="majorEastAsia" w:eastAsiaTheme="majorEastAsia" w:hAnsiTheme="majorEastAsia"/>
          <w:b/>
          <w:sz w:val="24"/>
          <w:szCs w:val="24"/>
        </w:rPr>
      </w:pPr>
    </w:p>
    <w:p w:rsidR="00AE6718" w:rsidRDefault="00AE6718" w:rsidP="00AE6718">
      <w:pPr>
        <w:widowControl/>
        <w:jc w:val="cente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第三章 采购内容及要求</w:t>
      </w:r>
    </w:p>
    <w:p w:rsidR="00AE6718" w:rsidRDefault="00AE6718" w:rsidP="00AE6718">
      <w:pPr>
        <w:widowControl/>
        <w:jc w:val="center"/>
        <w:rPr>
          <w:rFonts w:asciiTheme="majorEastAsia" w:eastAsiaTheme="majorEastAsia" w:hAnsiTheme="majorEastAsia"/>
          <w:b/>
          <w:sz w:val="24"/>
          <w:szCs w:val="24"/>
        </w:rPr>
      </w:pPr>
    </w:p>
    <w:p w:rsidR="00AE6718" w:rsidRDefault="00AE6718" w:rsidP="00AE6718">
      <w:pPr>
        <w:widowControl/>
        <w:spacing w:line="360" w:lineRule="auto"/>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sz w:val="24"/>
          <w:szCs w:val="24"/>
        </w:rPr>
        <w:t>一、</w:t>
      </w:r>
      <w:r>
        <w:rPr>
          <w:rFonts w:asciiTheme="majorEastAsia" w:eastAsiaTheme="majorEastAsia" w:hAnsiTheme="majorEastAsia" w:hint="eastAsia"/>
          <w:sz w:val="24"/>
          <w:szCs w:val="24"/>
        </w:rPr>
        <w:t>设备名称和数量：身份证识别仪(身份证自动识别系统)</w:t>
      </w:r>
      <w:r>
        <w:rPr>
          <w:rFonts w:asciiTheme="majorEastAsia" w:eastAsiaTheme="majorEastAsia" w:hAnsiTheme="majorEastAsia" w:cs="宋体" w:hint="eastAsia"/>
          <w:color w:val="000000"/>
          <w:kern w:val="0"/>
          <w:sz w:val="24"/>
          <w:szCs w:val="24"/>
        </w:rPr>
        <w:t>，24套，17.28万元</w:t>
      </w:r>
    </w:p>
    <w:p w:rsidR="00AE6718" w:rsidRDefault="00AE6718" w:rsidP="00AE671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二、交货日期：</w:t>
      </w:r>
      <w:r>
        <w:rPr>
          <w:rFonts w:asciiTheme="minorEastAsia" w:hAnsiTheme="minorEastAsia" w:hint="eastAsia"/>
          <w:sz w:val="24"/>
        </w:rPr>
        <w:t>合同签订后30个日历日内交货并完成安装调试，确保验收合格。</w:t>
      </w:r>
    </w:p>
    <w:p w:rsidR="00AE6718" w:rsidRDefault="00AE6718" w:rsidP="00AE671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三、交货地点：上海市血液中心指定地点</w:t>
      </w:r>
    </w:p>
    <w:p w:rsidR="00AE6718" w:rsidRDefault="00AE6718" w:rsidP="00AE6718">
      <w:pPr>
        <w:spacing w:line="360" w:lineRule="auto"/>
        <w:rPr>
          <w:b/>
          <w:sz w:val="28"/>
          <w:szCs w:val="28"/>
        </w:rPr>
      </w:pPr>
      <w:r>
        <w:rPr>
          <w:rFonts w:asciiTheme="majorEastAsia" w:eastAsiaTheme="majorEastAsia" w:hAnsiTheme="majorEastAsia" w:hint="eastAsia"/>
          <w:sz w:val="24"/>
          <w:szCs w:val="24"/>
        </w:rPr>
        <w:t>四、技术参数及要求：</w:t>
      </w:r>
    </w:p>
    <w:tbl>
      <w:tblPr>
        <w:tblW w:w="9397" w:type="dxa"/>
        <w:tblInd w:w="-221" w:type="dxa"/>
        <w:tblLayout w:type="fixed"/>
        <w:tblLook w:val="04A0"/>
      </w:tblPr>
      <w:tblGrid>
        <w:gridCol w:w="1605"/>
        <w:gridCol w:w="1847"/>
        <w:gridCol w:w="5945"/>
      </w:tblGrid>
      <w:tr w:rsidR="00AE6718" w:rsidTr="00BE5467">
        <w:trPr>
          <w:trHeight w:val="351"/>
        </w:trPr>
        <w:tc>
          <w:tcPr>
            <w:tcW w:w="1605" w:type="dxa"/>
            <w:tcBorders>
              <w:top w:val="single" w:sz="8" w:space="0" w:color="auto"/>
              <w:left w:val="single" w:sz="8" w:space="0" w:color="auto"/>
              <w:bottom w:val="single" w:sz="4" w:space="0" w:color="auto"/>
              <w:right w:val="single" w:sz="4" w:space="0" w:color="auto"/>
            </w:tcBorders>
            <w:shd w:val="clear" w:color="auto" w:fill="D8D8D8" w:themeFill="background1" w:themeFillShade="D8"/>
            <w:vAlign w:val="center"/>
          </w:tcPr>
          <w:p w:rsidR="00AE6718" w:rsidRDefault="00AE6718" w:rsidP="00BE5467">
            <w:pPr>
              <w:widowControl/>
              <w:spacing w:line="360" w:lineRule="auto"/>
              <w:ind w:leftChars="-111" w:left="-233" w:firstLineChars="106" w:firstLine="223"/>
              <w:jc w:val="center"/>
              <w:rPr>
                <w:rFonts w:ascii="宋体" w:hAnsi="宋体" w:cs="宋体"/>
                <w:b/>
                <w:bCs/>
                <w:color w:val="000000"/>
                <w:kern w:val="0"/>
              </w:rPr>
            </w:pPr>
            <w:r>
              <w:rPr>
                <w:rFonts w:ascii="宋体" w:hAnsi="宋体" w:cs="宋体" w:hint="eastAsia"/>
                <w:b/>
                <w:bCs/>
                <w:color w:val="000000"/>
                <w:kern w:val="0"/>
              </w:rPr>
              <w:t>功能模块</w:t>
            </w:r>
          </w:p>
        </w:tc>
        <w:tc>
          <w:tcPr>
            <w:tcW w:w="1847" w:type="dxa"/>
            <w:tcBorders>
              <w:top w:val="single" w:sz="8" w:space="0" w:color="auto"/>
              <w:left w:val="nil"/>
              <w:bottom w:val="single" w:sz="4" w:space="0" w:color="auto"/>
              <w:right w:val="single" w:sz="4" w:space="0" w:color="auto"/>
            </w:tcBorders>
            <w:shd w:val="clear" w:color="auto" w:fill="D8D8D8" w:themeFill="background1" w:themeFillShade="D8"/>
            <w:vAlign w:val="center"/>
          </w:tcPr>
          <w:p w:rsidR="00AE6718" w:rsidRDefault="00AE6718" w:rsidP="00BE5467">
            <w:pPr>
              <w:widowControl/>
              <w:spacing w:line="360" w:lineRule="auto"/>
              <w:jc w:val="center"/>
              <w:rPr>
                <w:rFonts w:ascii="宋体" w:hAnsi="宋体" w:cs="宋体"/>
                <w:b/>
                <w:bCs/>
                <w:color w:val="000000"/>
                <w:kern w:val="0"/>
              </w:rPr>
            </w:pPr>
            <w:r>
              <w:rPr>
                <w:rFonts w:ascii="宋体" w:hAnsi="宋体" w:cs="宋体" w:hint="eastAsia"/>
                <w:b/>
                <w:bCs/>
                <w:color w:val="000000"/>
                <w:kern w:val="0"/>
              </w:rPr>
              <w:t>功能</w:t>
            </w:r>
          </w:p>
        </w:tc>
        <w:tc>
          <w:tcPr>
            <w:tcW w:w="5945" w:type="dxa"/>
            <w:tcBorders>
              <w:top w:val="single" w:sz="8" w:space="0" w:color="auto"/>
              <w:left w:val="nil"/>
              <w:bottom w:val="single" w:sz="4" w:space="0" w:color="auto"/>
              <w:right w:val="single" w:sz="4" w:space="0" w:color="auto"/>
            </w:tcBorders>
            <w:shd w:val="clear" w:color="auto" w:fill="D8D8D8" w:themeFill="background1" w:themeFillShade="D8"/>
            <w:vAlign w:val="center"/>
          </w:tcPr>
          <w:p w:rsidR="00AE6718" w:rsidRDefault="00AE6718" w:rsidP="00BE5467">
            <w:pPr>
              <w:widowControl/>
              <w:spacing w:line="360" w:lineRule="auto"/>
              <w:jc w:val="center"/>
              <w:rPr>
                <w:rFonts w:ascii="宋体" w:hAnsi="宋体" w:cs="宋体"/>
                <w:b/>
                <w:bCs/>
                <w:color w:val="000000"/>
                <w:kern w:val="0"/>
              </w:rPr>
            </w:pPr>
            <w:r>
              <w:rPr>
                <w:rFonts w:ascii="宋体" w:hAnsi="宋体" w:cs="宋体" w:hint="eastAsia"/>
                <w:b/>
                <w:bCs/>
                <w:color w:val="000000"/>
                <w:kern w:val="0"/>
              </w:rPr>
              <w:t>详细功能</w:t>
            </w:r>
          </w:p>
        </w:tc>
      </w:tr>
      <w:tr w:rsidR="00AE6718" w:rsidTr="00BE5467">
        <w:trPr>
          <w:trHeight w:val="283"/>
        </w:trPr>
        <w:tc>
          <w:tcPr>
            <w:tcW w:w="1605" w:type="dxa"/>
            <w:vMerge w:val="restart"/>
            <w:tcBorders>
              <w:top w:val="single" w:sz="4" w:space="0" w:color="auto"/>
              <w:left w:val="single" w:sz="4" w:space="0" w:color="auto"/>
              <w:right w:val="single" w:sz="4" w:space="0" w:color="auto"/>
            </w:tcBorders>
            <w:vAlign w:val="center"/>
          </w:tcPr>
          <w:p w:rsidR="00AE6718" w:rsidRDefault="00AE6718" w:rsidP="00BE5467">
            <w:pPr>
              <w:spacing w:line="360" w:lineRule="auto"/>
              <w:jc w:val="left"/>
              <w:rPr>
                <w:rFonts w:ascii="宋体" w:hAnsi="宋体" w:cs="宋体"/>
                <w:bCs/>
                <w:color w:val="000000" w:themeColor="text1"/>
                <w:kern w:val="0"/>
              </w:rPr>
            </w:pPr>
            <w:r>
              <w:rPr>
                <w:rFonts w:ascii="宋体" w:hAnsi="宋体" w:cs="宋体" w:hint="eastAsia"/>
                <w:bCs/>
                <w:color w:val="000000" w:themeColor="text1"/>
                <w:kern w:val="0"/>
              </w:rPr>
              <w:t>身份证识别仪</w:t>
            </w:r>
          </w:p>
          <w:p w:rsidR="00AE6718" w:rsidRDefault="00AE6718" w:rsidP="00BE5467">
            <w:pPr>
              <w:spacing w:line="360" w:lineRule="auto"/>
              <w:jc w:val="left"/>
              <w:rPr>
                <w:rFonts w:ascii="宋体" w:hAnsi="宋体" w:cs="宋体"/>
                <w:bCs/>
                <w:color w:val="000000" w:themeColor="text1"/>
                <w:kern w:val="0"/>
              </w:rPr>
            </w:pPr>
            <w:r>
              <w:rPr>
                <w:rFonts w:ascii="宋体" w:hAnsi="宋体" w:cs="宋体" w:hint="eastAsia"/>
                <w:bCs/>
                <w:color w:val="000000" w:themeColor="text1"/>
                <w:kern w:val="0"/>
              </w:rPr>
              <w:t>（</w:t>
            </w:r>
            <w:r>
              <w:rPr>
                <w:rFonts w:ascii="宋体" w:hAnsi="宋体" w:cs="宋体"/>
                <w:bCs/>
                <w:color w:val="000000" w:themeColor="text1"/>
                <w:kern w:val="0"/>
              </w:rPr>
              <w:t>身份</w:t>
            </w:r>
            <w:r>
              <w:rPr>
                <w:rFonts w:ascii="宋体" w:hAnsi="宋体" w:cs="宋体" w:hint="eastAsia"/>
                <w:bCs/>
                <w:color w:val="000000" w:themeColor="text1"/>
                <w:kern w:val="0"/>
              </w:rPr>
              <w:t>证</w:t>
            </w:r>
          </w:p>
          <w:p w:rsidR="00AE6718" w:rsidRDefault="00AE6718" w:rsidP="00BE5467">
            <w:pPr>
              <w:spacing w:line="360" w:lineRule="auto"/>
              <w:jc w:val="left"/>
              <w:rPr>
                <w:rFonts w:ascii="宋体" w:hAnsi="宋体" w:cs="宋体"/>
                <w:b/>
                <w:bCs/>
                <w:color w:val="000000" w:themeColor="text1"/>
                <w:kern w:val="0"/>
              </w:rPr>
            </w:pPr>
            <w:r>
              <w:rPr>
                <w:rFonts w:ascii="宋体" w:hAnsi="宋体" w:cs="宋体" w:hint="eastAsia"/>
                <w:bCs/>
                <w:color w:val="000000" w:themeColor="text1"/>
                <w:kern w:val="0"/>
              </w:rPr>
              <w:t>自动</w:t>
            </w:r>
            <w:r>
              <w:rPr>
                <w:rFonts w:ascii="宋体" w:hAnsi="宋体" w:cs="宋体"/>
                <w:bCs/>
                <w:color w:val="000000" w:themeColor="text1"/>
                <w:kern w:val="0"/>
              </w:rPr>
              <w:t>识别</w:t>
            </w:r>
            <w:r>
              <w:rPr>
                <w:rFonts w:ascii="宋体" w:hAnsi="宋体" w:cs="宋体" w:hint="eastAsia"/>
                <w:bCs/>
                <w:color w:val="000000" w:themeColor="text1"/>
                <w:kern w:val="0"/>
              </w:rPr>
              <w:t>系统）</w:t>
            </w:r>
          </w:p>
        </w:tc>
        <w:tc>
          <w:tcPr>
            <w:tcW w:w="1847" w:type="dxa"/>
            <w:tcBorders>
              <w:top w:val="single" w:sz="4" w:space="0" w:color="auto"/>
              <w:left w:val="nil"/>
              <w:bottom w:val="single" w:sz="4" w:space="0" w:color="auto"/>
              <w:right w:val="single" w:sz="4" w:space="0" w:color="auto"/>
            </w:tcBorders>
            <w:shd w:val="clear" w:color="auto" w:fill="auto"/>
            <w:vAlign w:val="center"/>
          </w:tcPr>
          <w:p w:rsidR="00AE6718" w:rsidRDefault="00AE6718" w:rsidP="00BE5467">
            <w:pPr>
              <w:widowControl/>
              <w:spacing w:line="360" w:lineRule="auto"/>
              <w:jc w:val="left"/>
              <w:rPr>
                <w:rFonts w:ascii="宋体" w:hAnsi="宋体" w:cs="宋体"/>
                <w:color w:val="000000" w:themeColor="text1"/>
                <w:kern w:val="0"/>
              </w:rPr>
            </w:pPr>
            <w:r>
              <w:rPr>
                <w:rFonts w:ascii="宋体" w:hAnsi="宋体" w:cs="宋体" w:hint="eastAsia"/>
                <w:color w:val="000000" w:themeColor="text1"/>
                <w:kern w:val="0"/>
              </w:rPr>
              <w:t>身份证阅读机具</w:t>
            </w:r>
          </w:p>
        </w:tc>
        <w:tc>
          <w:tcPr>
            <w:tcW w:w="5945" w:type="dxa"/>
            <w:tcBorders>
              <w:top w:val="single" w:sz="4" w:space="0" w:color="auto"/>
              <w:left w:val="nil"/>
              <w:bottom w:val="single" w:sz="4" w:space="0" w:color="auto"/>
              <w:right w:val="single" w:sz="4" w:space="0" w:color="auto"/>
            </w:tcBorders>
            <w:shd w:val="clear" w:color="auto" w:fill="auto"/>
          </w:tcPr>
          <w:p w:rsidR="00AE6718" w:rsidRDefault="00AE6718" w:rsidP="00AE6718">
            <w:pPr>
              <w:pStyle w:val="a3"/>
              <w:widowControl/>
              <w:numPr>
                <w:ilvl w:val="0"/>
                <w:numId w:val="1"/>
              </w:numPr>
              <w:spacing w:line="360" w:lineRule="auto"/>
              <w:ind w:firstLineChars="0"/>
              <w:jc w:val="left"/>
              <w:rPr>
                <w:rFonts w:ascii="宋体" w:hAnsi="宋体" w:cs="宋体"/>
                <w:color w:val="000000" w:themeColor="text1"/>
                <w:kern w:val="0"/>
              </w:rPr>
            </w:pPr>
            <w:r>
              <w:rPr>
                <w:rFonts w:ascii="宋体" w:hAnsi="宋体" w:cs="宋体" w:hint="eastAsia"/>
                <w:color w:val="000000" w:themeColor="text1"/>
                <w:kern w:val="0"/>
              </w:rPr>
              <w:t>外形尺寸：≤125mm×90mm×25mm</w:t>
            </w:r>
          </w:p>
          <w:p w:rsidR="00AE6718" w:rsidRDefault="00AE6718" w:rsidP="00AE6718">
            <w:pPr>
              <w:pStyle w:val="a3"/>
              <w:widowControl/>
              <w:numPr>
                <w:ilvl w:val="0"/>
                <w:numId w:val="1"/>
              </w:numPr>
              <w:spacing w:line="360" w:lineRule="auto"/>
              <w:ind w:firstLineChars="0"/>
              <w:jc w:val="left"/>
              <w:rPr>
                <w:rFonts w:ascii="宋体" w:hAnsi="宋体" w:cs="宋体"/>
                <w:color w:val="000000" w:themeColor="text1"/>
                <w:kern w:val="0"/>
              </w:rPr>
            </w:pPr>
            <w:r>
              <w:rPr>
                <w:rFonts w:ascii="宋体" w:hAnsi="宋体" w:cs="宋体" w:hint="eastAsia"/>
                <w:color w:val="000000" w:themeColor="text1"/>
                <w:kern w:val="0"/>
              </w:rPr>
              <w:t>感应区面积：≥70mm×70mm；最大感应距离：≥50mm；居民身份证与感应区平面最大张角：70°</w:t>
            </w:r>
          </w:p>
          <w:p w:rsidR="00AE6718" w:rsidRDefault="00AE6718" w:rsidP="00AE6718">
            <w:pPr>
              <w:pStyle w:val="a3"/>
              <w:widowControl/>
              <w:numPr>
                <w:ilvl w:val="0"/>
                <w:numId w:val="1"/>
              </w:numPr>
              <w:spacing w:line="360" w:lineRule="auto"/>
              <w:ind w:firstLineChars="0"/>
              <w:jc w:val="left"/>
              <w:rPr>
                <w:rFonts w:ascii="宋体" w:hAnsi="宋体" w:cs="宋体"/>
                <w:color w:val="000000" w:themeColor="text1"/>
                <w:kern w:val="0"/>
              </w:rPr>
            </w:pPr>
            <w:r>
              <w:rPr>
                <w:rFonts w:ascii="宋体" w:hAnsi="宋体" w:cs="宋体" w:hint="eastAsia"/>
                <w:color w:val="000000" w:themeColor="text1"/>
                <w:kern w:val="0"/>
              </w:rPr>
              <w:t>读卡距离：0-3.0cm</w:t>
            </w:r>
          </w:p>
          <w:p w:rsidR="00AE6718" w:rsidRDefault="00AE6718" w:rsidP="00AE6718">
            <w:pPr>
              <w:pStyle w:val="a3"/>
              <w:widowControl/>
              <w:numPr>
                <w:ilvl w:val="0"/>
                <w:numId w:val="1"/>
              </w:numPr>
              <w:spacing w:line="360" w:lineRule="auto"/>
              <w:ind w:firstLineChars="0"/>
              <w:jc w:val="left"/>
              <w:rPr>
                <w:rFonts w:ascii="宋体" w:hAnsi="宋体" w:cs="宋体"/>
                <w:color w:val="000000" w:themeColor="text1"/>
                <w:kern w:val="0"/>
              </w:rPr>
            </w:pPr>
            <w:r>
              <w:rPr>
                <w:rFonts w:ascii="宋体" w:hAnsi="宋体" w:cs="宋体" w:hint="eastAsia"/>
                <w:color w:val="000000" w:themeColor="text1"/>
                <w:kern w:val="0"/>
              </w:rPr>
              <w:t>指示灯：电源灯/通讯灯</w:t>
            </w:r>
          </w:p>
          <w:p w:rsidR="00AE6718" w:rsidRDefault="00AE6718" w:rsidP="00AE6718">
            <w:pPr>
              <w:pStyle w:val="a3"/>
              <w:widowControl/>
              <w:numPr>
                <w:ilvl w:val="0"/>
                <w:numId w:val="1"/>
              </w:numPr>
              <w:spacing w:line="360" w:lineRule="auto"/>
              <w:ind w:firstLineChars="0"/>
              <w:jc w:val="left"/>
              <w:rPr>
                <w:rFonts w:ascii="宋体" w:hAnsi="宋体" w:cs="宋体"/>
                <w:color w:val="000000" w:themeColor="text1"/>
                <w:kern w:val="0"/>
              </w:rPr>
            </w:pPr>
            <w:r>
              <w:rPr>
                <w:rFonts w:ascii="宋体" w:hAnsi="宋体" w:cs="宋体" w:hint="eastAsia"/>
                <w:color w:val="000000" w:themeColor="text1"/>
                <w:kern w:val="0"/>
              </w:rPr>
              <w:t>输入输出端口：Mini USB2.0</w:t>
            </w:r>
          </w:p>
          <w:p w:rsidR="00AE6718" w:rsidRDefault="00AE6718" w:rsidP="00AE6718">
            <w:pPr>
              <w:pStyle w:val="a3"/>
              <w:widowControl/>
              <w:numPr>
                <w:ilvl w:val="0"/>
                <w:numId w:val="1"/>
              </w:numPr>
              <w:spacing w:line="360" w:lineRule="auto"/>
              <w:ind w:firstLineChars="0"/>
              <w:jc w:val="left"/>
              <w:rPr>
                <w:rFonts w:ascii="宋体" w:hAnsi="宋体" w:cs="宋体"/>
                <w:color w:val="000000" w:themeColor="text1"/>
                <w:kern w:val="0"/>
              </w:rPr>
            </w:pPr>
            <w:r>
              <w:rPr>
                <w:rFonts w:ascii="宋体" w:hAnsi="宋体" w:cs="宋体" w:hint="eastAsia"/>
                <w:color w:val="000000" w:themeColor="text1"/>
                <w:kern w:val="0"/>
              </w:rPr>
              <w:t>供电方式： Mini USB</w:t>
            </w:r>
          </w:p>
        </w:tc>
      </w:tr>
      <w:tr w:rsidR="00AE6718" w:rsidTr="00BE5467">
        <w:trPr>
          <w:trHeight w:val="283"/>
        </w:trPr>
        <w:tc>
          <w:tcPr>
            <w:tcW w:w="1605" w:type="dxa"/>
            <w:vMerge/>
            <w:tcBorders>
              <w:left w:val="single" w:sz="4" w:space="0" w:color="auto"/>
              <w:right w:val="single" w:sz="4" w:space="0" w:color="auto"/>
            </w:tcBorders>
            <w:vAlign w:val="center"/>
          </w:tcPr>
          <w:p w:rsidR="00AE6718" w:rsidRDefault="00AE6718" w:rsidP="00BE5467">
            <w:pPr>
              <w:widowControl/>
              <w:spacing w:line="360" w:lineRule="auto"/>
              <w:jc w:val="left"/>
              <w:rPr>
                <w:rFonts w:ascii="宋体" w:hAnsi="宋体" w:cs="宋体"/>
                <w:b/>
                <w:bCs/>
                <w:color w:val="000000" w:themeColor="text1"/>
                <w:kern w:val="0"/>
              </w:rPr>
            </w:pPr>
          </w:p>
        </w:tc>
        <w:tc>
          <w:tcPr>
            <w:tcW w:w="1847" w:type="dxa"/>
            <w:tcBorders>
              <w:top w:val="single" w:sz="4" w:space="0" w:color="auto"/>
              <w:left w:val="nil"/>
              <w:bottom w:val="single" w:sz="4" w:space="0" w:color="auto"/>
              <w:right w:val="single" w:sz="4" w:space="0" w:color="auto"/>
            </w:tcBorders>
            <w:shd w:val="clear" w:color="auto" w:fill="auto"/>
            <w:vAlign w:val="center"/>
          </w:tcPr>
          <w:p w:rsidR="00AE6718" w:rsidRDefault="00AE6718" w:rsidP="00BE5467">
            <w:pPr>
              <w:widowControl/>
              <w:spacing w:line="360" w:lineRule="auto"/>
              <w:jc w:val="left"/>
              <w:rPr>
                <w:rFonts w:ascii="宋体" w:hAnsi="宋体" w:cs="宋体"/>
                <w:color w:val="000000" w:themeColor="text1"/>
                <w:kern w:val="0"/>
              </w:rPr>
            </w:pPr>
            <w:r>
              <w:rPr>
                <w:rFonts w:ascii="宋体" w:hAnsi="宋体" w:cs="宋体"/>
                <w:color w:val="000000" w:themeColor="text1"/>
                <w:kern w:val="0"/>
              </w:rPr>
              <w:t>自动识别二代证</w:t>
            </w:r>
          </w:p>
        </w:tc>
        <w:tc>
          <w:tcPr>
            <w:tcW w:w="5945" w:type="dxa"/>
            <w:tcBorders>
              <w:top w:val="single" w:sz="4" w:space="0" w:color="auto"/>
              <w:left w:val="nil"/>
              <w:bottom w:val="single" w:sz="4" w:space="0" w:color="auto"/>
              <w:right w:val="single" w:sz="4" w:space="0" w:color="auto"/>
            </w:tcBorders>
            <w:shd w:val="clear" w:color="auto" w:fill="auto"/>
          </w:tcPr>
          <w:p w:rsidR="00AE6718" w:rsidRDefault="00AE6718" w:rsidP="00BE5467">
            <w:pPr>
              <w:widowControl/>
              <w:spacing w:line="360" w:lineRule="auto"/>
              <w:jc w:val="left"/>
              <w:rPr>
                <w:rFonts w:ascii="宋体" w:hAnsi="宋体" w:cs="宋体"/>
                <w:color w:val="000000" w:themeColor="text1"/>
                <w:kern w:val="0"/>
              </w:rPr>
            </w:pPr>
            <w:r>
              <w:rPr>
                <w:rFonts w:ascii="宋体" w:hAnsi="宋体" w:cs="宋体"/>
                <w:color w:val="000000" w:themeColor="text1"/>
                <w:kern w:val="0"/>
              </w:rPr>
              <w:t>在献血者登记、献血者筛查等功能界面中的身份证号输入时，能通过联接的第二代居民身份证阅读器，自动识别第二代居民身份证。</w:t>
            </w:r>
          </w:p>
        </w:tc>
      </w:tr>
      <w:tr w:rsidR="00AE6718" w:rsidTr="00BE5467">
        <w:trPr>
          <w:trHeight w:val="283"/>
        </w:trPr>
        <w:tc>
          <w:tcPr>
            <w:tcW w:w="1605" w:type="dxa"/>
            <w:vMerge/>
            <w:tcBorders>
              <w:left w:val="single" w:sz="4" w:space="0" w:color="auto"/>
              <w:right w:val="single" w:sz="4" w:space="0" w:color="auto"/>
            </w:tcBorders>
            <w:vAlign w:val="center"/>
          </w:tcPr>
          <w:p w:rsidR="00AE6718" w:rsidRDefault="00AE6718" w:rsidP="00BE5467">
            <w:pPr>
              <w:widowControl/>
              <w:spacing w:line="360" w:lineRule="auto"/>
              <w:jc w:val="left"/>
              <w:rPr>
                <w:rFonts w:ascii="宋体" w:hAnsi="宋体" w:cs="宋体"/>
                <w:b/>
                <w:bCs/>
                <w:color w:val="000000" w:themeColor="text1"/>
                <w:kern w:val="0"/>
              </w:rPr>
            </w:pPr>
          </w:p>
        </w:tc>
        <w:tc>
          <w:tcPr>
            <w:tcW w:w="1847" w:type="dxa"/>
            <w:vMerge w:val="restart"/>
            <w:tcBorders>
              <w:top w:val="single" w:sz="4" w:space="0" w:color="auto"/>
              <w:left w:val="nil"/>
              <w:bottom w:val="single" w:sz="4" w:space="0" w:color="auto"/>
              <w:right w:val="single" w:sz="4" w:space="0" w:color="auto"/>
            </w:tcBorders>
            <w:shd w:val="clear" w:color="auto" w:fill="auto"/>
            <w:vAlign w:val="center"/>
          </w:tcPr>
          <w:p w:rsidR="00AE6718" w:rsidRDefault="00AE6718" w:rsidP="00BE5467">
            <w:pPr>
              <w:widowControl/>
              <w:spacing w:line="360" w:lineRule="auto"/>
              <w:jc w:val="left"/>
              <w:rPr>
                <w:rFonts w:ascii="宋体" w:hAnsi="宋体" w:cs="宋体"/>
                <w:color w:val="000000" w:themeColor="text1"/>
                <w:kern w:val="0"/>
              </w:rPr>
            </w:pPr>
            <w:r>
              <w:rPr>
                <w:rFonts w:asciiTheme="majorEastAsia" w:eastAsiaTheme="majorEastAsia" w:hAnsiTheme="majorEastAsia" w:hint="eastAsia"/>
                <w:sz w:val="24"/>
                <w:szCs w:val="24"/>
              </w:rPr>
              <w:t>▲</w:t>
            </w:r>
            <w:r>
              <w:rPr>
                <w:rFonts w:ascii="宋体" w:hAnsi="宋体" w:cs="宋体"/>
                <w:color w:val="000000" w:themeColor="text1"/>
                <w:kern w:val="0"/>
              </w:rPr>
              <w:t>读取二代</w:t>
            </w:r>
            <w:proofErr w:type="gramStart"/>
            <w:r>
              <w:rPr>
                <w:rFonts w:ascii="宋体" w:hAnsi="宋体" w:cs="宋体"/>
                <w:color w:val="000000" w:themeColor="text1"/>
                <w:kern w:val="0"/>
              </w:rPr>
              <w:t>证信息</w:t>
            </w:r>
            <w:proofErr w:type="gramEnd"/>
          </w:p>
        </w:tc>
        <w:tc>
          <w:tcPr>
            <w:tcW w:w="5945" w:type="dxa"/>
            <w:tcBorders>
              <w:top w:val="single" w:sz="4" w:space="0" w:color="auto"/>
              <w:left w:val="nil"/>
              <w:bottom w:val="single" w:sz="4" w:space="0" w:color="auto"/>
              <w:right w:val="single" w:sz="4" w:space="0" w:color="auto"/>
            </w:tcBorders>
            <w:shd w:val="clear" w:color="auto" w:fill="auto"/>
          </w:tcPr>
          <w:p w:rsidR="00AE6718" w:rsidRDefault="00AE6718" w:rsidP="00BE5467">
            <w:pPr>
              <w:widowControl/>
              <w:spacing w:line="360" w:lineRule="auto"/>
              <w:jc w:val="left"/>
              <w:rPr>
                <w:rFonts w:ascii="宋体" w:hAnsi="宋体" w:cs="宋体"/>
                <w:color w:val="000000" w:themeColor="text1"/>
                <w:kern w:val="0"/>
              </w:rPr>
            </w:pPr>
            <w:r>
              <w:rPr>
                <w:rFonts w:ascii="宋体" w:hAnsi="宋体" w:cs="宋体"/>
                <w:color w:val="000000" w:themeColor="text1"/>
                <w:kern w:val="0"/>
              </w:rPr>
              <w:t>自动识别第二代居民身份证后，读取二代证中的身份证号、姓名、民族、出生日期、住址、照片等信息</w:t>
            </w:r>
          </w:p>
        </w:tc>
      </w:tr>
      <w:tr w:rsidR="00AE6718" w:rsidTr="00BE5467">
        <w:trPr>
          <w:trHeight w:val="283"/>
        </w:trPr>
        <w:tc>
          <w:tcPr>
            <w:tcW w:w="1605" w:type="dxa"/>
            <w:vMerge/>
            <w:tcBorders>
              <w:left w:val="single" w:sz="4" w:space="0" w:color="auto"/>
              <w:right w:val="single" w:sz="4" w:space="0" w:color="auto"/>
            </w:tcBorders>
            <w:vAlign w:val="center"/>
          </w:tcPr>
          <w:p w:rsidR="00AE6718" w:rsidRDefault="00AE6718" w:rsidP="00BE5467">
            <w:pPr>
              <w:widowControl/>
              <w:spacing w:line="360" w:lineRule="auto"/>
              <w:jc w:val="left"/>
              <w:rPr>
                <w:rFonts w:ascii="宋体" w:hAnsi="宋体" w:cs="宋体"/>
                <w:b/>
                <w:bCs/>
                <w:color w:val="000000" w:themeColor="text1"/>
                <w:kern w:val="0"/>
              </w:rPr>
            </w:pPr>
          </w:p>
        </w:tc>
        <w:tc>
          <w:tcPr>
            <w:tcW w:w="1847" w:type="dxa"/>
            <w:vMerge/>
            <w:tcBorders>
              <w:top w:val="single" w:sz="4" w:space="0" w:color="auto"/>
              <w:left w:val="nil"/>
              <w:bottom w:val="single" w:sz="4" w:space="0" w:color="auto"/>
              <w:right w:val="single" w:sz="4" w:space="0" w:color="auto"/>
            </w:tcBorders>
            <w:shd w:val="clear" w:color="auto" w:fill="auto"/>
            <w:vAlign w:val="center"/>
          </w:tcPr>
          <w:p w:rsidR="00AE6718" w:rsidRDefault="00AE6718" w:rsidP="00BE5467">
            <w:pPr>
              <w:widowControl/>
              <w:spacing w:line="360" w:lineRule="auto"/>
              <w:jc w:val="left"/>
              <w:rPr>
                <w:rFonts w:ascii="宋体" w:hAnsi="宋体" w:cs="宋体"/>
                <w:color w:val="000000" w:themeColor="text1"/>
                <w:kern w:val="0"/>
              </w:rPr>
            </w:pPr>
          </w:p>
        </w:tc>
        <w:tc>
          <w:tcPr>
            <w:tcW w:w="5945" w:type="dxa"/>
            <w:tcBorders>
              <w:top w:val="single" w:sz="4" w:space="0" w:color="auto"/>
              <w:left w:val="nil"/>
              <w:bottom w:val="single" w:sz="4" w:space="0" w:color="auto"/>
              <w:right w:val="single" w:sz="4" w:space="0" w:color="auto"/>
            </w:tcBorders>
            <w:shd w:val="clear" w:color="auto" w:fill="auto"/>
          </w:tcPr>
          <w:p w:rsidR="00AE6718" w:rsidRDefault="00AE6718" w:rsidP="00BE5467">
            <w:pPr>
              <w:widowControl/>
              <w:spacing w:line="360" w:lineRule="auto"/>
              <w:jc w:val="left"/>
              <w:rPr>
                <w:rFonts w:ascii="宋体" w:hAnsi="宋体" w:cs="宋体"/>
                <w:color w:val="000000" w:themeColor="text1"/>
                <w:kern w:val="0"/>
              </w:rPr>
            </w:pPr>
            <w:r>
              <w:rPr>
                <w:rFonts w:ascii="宋体" w:hAnsi="宋体" w:cs="宋体"/>
                <w:color w:val="000000" w:themeColor="text1"/>
                <w:kern w:val="0"/>
              </w:rPr>
              <w:t>把读取的身份证号、姓名、民族、出生日期、住址、照片等信息显示在界面上，</w:t>
            </w:r>
            <w:r>
              <w:t>方便快速登记献血者信息</w:t>
            </w:r>
          </w:p>
        </w:tc>
      </w:tr>
      <w:tr w:rsidR="00AE6718" w:rsidTr="00BE5467">
        <w:trPr>
          <w:trHeight w:val="283"/>
        </w:trPr>
        <w:tc>
          <w:tcPr>
            <w:tcW w:w="1605" w:type="dxa"/>
            <w:vMerge/>
            <w:tcBorders>
              <w:left w:val="single" w:sz="4" w:space="0" w:color="auto"/>
              <w:right w:val="single" w:sz="4" w:space="0" w:color="auto"/>
            </w:tcBorders>
            <w:vAlign w:val="center"/>
          </w:tcPr>
          <w:p w:rsidR="00AE6718" w:rsidRDefault="00AE6718" w:rsidP="00BE5467">
            <w:pPr>
              <w:widowControl/>
              <w:spacing w:line="360" w:lineRule="auto"/>
              <w:jc w:val="left"/>
              <w:rPr>
                <w:rFonts w:ascii="宋体" w:hAnsi="宋体" w:cs="宋体"/>
                <w:b/>
                <w:bCs/>
                <w:color w:val="000000" w:themeColor="text1"/>
                <w:kern w:val="0"/>
              </w:rPr>
            </w:pPr>
          </w:p>
        </w:tc>
        <w:tc>
          <w:tcPr>
            <w:tcW w:w="1847" w:type="dxa"/>
            <w:vMerge w:val="restart"/>
            <w:tcBorders>
              <w:top w:val="single" w:sz="4" w:space="0" w:color="auto"/>
              <w:left w:val="nil"/>
              <w:right w:val="single" w:sz="4" w:space="0" w:color="auto"/>
            </w:tcBorders>
            <w:shd w:val="clear" w:color="auto" w:fill="auto"/>
            <w:vAlign w:val="center"/>
          </w:tcPr>
          <w:p w:rsidR="00AE6718" w:rsidRDefault="00AE6718" w:rsidP="00BE5467">
            <w:pPr>
              <w:widowControl/>
              <w:spacing w:line="360" w:lineRule="auto"/>
              <w:jc w:val="left"/>
              <w:rPr>
                <w:rFonts w:ascii="宋体" w:hAnsi="宋体" w:cs="宋体"/>
                <w:color w:val="000000" w:themeColor="text1"/>
                <w:kern w:val="0"/>
              </w:rPr>
            </w:pPr>
            <w:r>
              <w:rPr>
                <w:rFonts w:asciiTheme="majorEastAsia" w:eastAsiaTheme="majorEastAsia" w:hAnsiTheme="majorEastAsia" w:hint="eastAsia"/>
                <w:sz w:val="24"/>
                <w:szCs w:val="24"/>
              </w:rPr>
              <w:t>▲</w:t>
            </w:r>
            <w:r>
              <w:rPr>
                <w:rFonts w:ascii="宋体" w:hAnsi="宋体" w:cs="宋体"/>
                <w:color w:val="000000" w:themeColor="text1"/>
                <w:kern w:val="0"/>
              </w:rPr>
              <w:t>身份证号码识别后处理</w:t>
            </w:r>
          </w:p>
        </w:tc>
        <w:tc>
          <w:tcPr>
            <w:tcW w:w="5945" w:type="dxa"/>
            <w:tcBorders>
              <w:top w:val="single" w:sz="4" w:space="0" w:color="auto"/>
              <w:left w:val="nil"/>
              <w:bottom w:val="single" w:sz="4" w:space="0" w:color="auto"/>
              <w:right w:val="single" w:sz="4" w:space="0" w:color="auto"/>
            </w:tcBorders>
            <w:shd w:val="clear" w:color="auto" w:fill="auto"/>
          </w:tcPr>
          <w:p w:rsidR="00AE6718" w:rsidRDefault="00AE6718" w:rsidP="00BE5467">
            <w:pPr>
              <w:widowControl/>
              <w:spacing w:line="360" w:lineRule="auto"/>
              <w:jc w:val="left"/>
              <w:rPr>
                <w:rFonts w:ascii="宋体" w:hAnsi="宋体" w:cs="宋体"/>
                <w:color w:val="000000" w:themeColor="text1"/>
                <w:kern w:val="0"/>
              </w:rPr>
            </w:pPr>
            <w:r>
              <w:rPr>
                <w:rFonts w:ascii="宋体" w:hAnsi="宋体" w:cs="宋体"/>
                <w:color w:val="000000" w:themeColor="text1"/>
                <w:kern w:val="0"/>
              </w:rPr>
              <w:t>按照身份证号在数据库中的信息进行搜索、比对，</w:t>
            </w:r>
            <w:r>
              <w:t>能够自动识别新、旧身份证号的对应关系，获取数据库的献血者档案信息。</w:t>
            </w:r>
          </w:p>
        </w:tc>
      </w:tr>
      <w:tr w:rsidR="00AE6718" w:rsidTr="00BE5467">
        <w:trPr>
          <w:trHeight w:val="283"/>
        </w:trPr>
        <w:tc>
          <w:tcPr>
            <w:tcW w:w="1605" w:type="dxa"/>
            <w:vMerge/>
            <w:tcBorders>
              <w:left w:val="single" w:sz="4" w:space="0" w:color="auto"/>
              <w:right w:val="single" w:sz="4" w:space="0" w:color="auto"/>
            </w:tcBorders>
            <w:vAlign w:val="center"/>
          </w:tcPr>
          <w:p w:rsidR="00AE6718" w:rsidRDefault="00AE6718" w:rsidP="00BE5467">
            <w:pPr>
              <w:widowControl/>
              <w:spacing w:line="360" w:lineRule="auto"/>
              <w:jc w:val="left"/>
              <w:rPr>
                <w:rFonts w:ascii="宋体" w:hAnsi="宋体" w:cs="宋体"/>
                <w:b/>
                <w:bCs/>
                <w:color w:val="000000" w:themeColor="text1"/>
                <w:kern w:val="0"/>
              </w:rPr>
            </w:pPr>
          </w:p>
        </w:tc>
        <w:tc>
          <w:tcPr>
            <w:tcW w:w="1847" w:type="dxa"/>
            <w:vMerge/>
            <w:tcBorders>
              <w:left w:val="nil"/>
              <w:right w:val="single" w:sz="4" w:space="0" w:color="auto"/>
            </w:tcBorders>
            <w:shd w:val="clear" w:color="auto" w:fill="auto"/>
            <w:vAlign w:val="center"/>
          </w:tcPr>
          <w:p w:rsidR="00AE6718" w:rsidRDefault="00AE6718" w:rsidP="00BE5467">
            <w:pPr>
              <w:widowControl/>
              <w:spacing w:line="360" w:lineRule="auto"/>
              <w:jc w:val="left"/>
              <w:rPr>
                <w:rFonts w:ascii="宋体" w:hAnsi="宋体" w:cs="宋体"/>
                <w:color w:val="000000" w:themeColor="text1"/>
                <w:kern w:val="0"/>
              </w:rPr>
            </w:pPr>
          </w:p>
        </w:tc>
        <w:tc>
          <w:tcPr>
            <w:tcW w:w="5945" w:type="dxa"/>
            <w:tcBorders>
              <w:top w:val="single" w:sz="4" w:space="0" w:color="auto"/>
              <w:left w:val="nil"/>
              <w:bottom w:val="single" w:sz="4" w:space="0" w:color="auto"/>
              <w:right w:val="single" w:sz="4" w:space="0" w:color="auto"/>
            </w:tcBorders>
            <w:shd w:val="clear" w:color="auto" w:fill="auto"/>
          </w:tcPr>
          <w:p w:rsidR="00AE6718" w:rsidRDefault="00AE6718" w:rsidP="00BE5467">
            <w:pPr>
              <w:widowControl/>
              <w:spacing w:line="360" w:lineRule="auto"/>
              <w:jc w:val="left"/>
              <w:rPr>
                <w:rFonts w:ascii="宋体" w:hAnsi="宋体" w:cs="宋体"/>
                <w:color w:val="000000" w:themeColor="text1"/>
                <w:kern w:val="0"/>
              </w:rPr>
            </w:pPr>
            <w:r>
              <w:t>自动将业务系统中该献血者所有献血记录进行合并处理。并对献血者档案进行更新。</w:t>
            </w:r>
          </w:p>
        </w:tc>
      </w:tr>
      <w:tr w:rsidR="00AE6718" w:rsidTr="00BE5467">
        <w:trPr>
          <w:trHeight w:val="283"/>
        </w:trPr>
        <w:tc>
          <w:tcPr>
            <w:tcW w:w="1605" w:type="dxa"/>
            <w:vMerge/>
            <w:tcBorders>
              <w:left w:val="single" w:sz="4" w:space="0" w:color="auto"/>
              <w:right w:val="single" w:sz="4" w:space="0" w:color="auto"/>
            </w:tcBorders>
            <w:vAlign w:val="center"/>
          </w:tcPr>
          <w:p w:rsidR="00AE6718" w:rsidRDefault="00AE6718" w:rsidP="00BE5467">
            <w:pPr>
              <w:widowControl/>
              <w:spacing w:line="360" w:lineRule="auto"/>
              <w:jc w:val="left"/>
              <w:rPr>
                <w:rFonts w:ascii="宋体" w:hAnsi="宋体" w:cs="宋体"/>
                <w:b/>
                <w:bCs/>
                <w:color w:val="000000" w:themeColor="text1"/>
                <w:kern w:val="0"/>
              </w:rPr>
            </w:pPr>
          </w:p>
        </w:tc>
        <w:tc>
          <w:tcPr>
            <w:tcW w:w="1847" w:type="dxa"/>
            <w:vMerge/>
            <w:tcBorders>
              <w:left w:val="nil"/>
              <w:right w:val="single" w:sz="4" w:space="0" w:color="auto"/>
            </w:tcBorders>
            <w:shd w:val="clear" w:color="auto" w:fill="auto"/>
            <w:vAlign w:val="center"/>
          </w:tcPr>
          <w:p w:rsidR="00AE6718" w:rsidRDefault="00AE6718" w:rsidP="00BE5467">
            <w:pPr>
              <w:widowControl/>
              <w:spacing w:line="360" w:lineRule="auto"/>
              <w:jc w:val="left"/>
              <w:rPr>
                <w:rFonts w:ascii="宋体" w:hAnsi="宋体" w:cs="宋体"/>
                <w:color w:val="000000" w:themeColor="text1"/>
                <w:kern w:val="0"/>
              </w:rPr>
            </w:pPr>
          </w:p>
        </w:tc>
        <w:tc>
          <w:tcPr>
            <w:tcW w:w="5945" w:type="dxa"/>
            <w:tcBorders>
              <w:top w:val="single" w:sz="4" w:space="0" w:color="auto"/>
              <w:left w:val="nil"/>
              <w:bottom w:val="single" w:sz="4" w:space="0" w:color="auto"/>
              <w:right w:val="single" w:sz="4" w:space="0" w:color="auto"/>
            </w:tcBorders>
            <w:shd w:val="clear" w:color="auto" w:fill="auto"/>
          </w:tcPr>
          <w:p w:rsidR="00AE6718" w:rsidRDefault="00AE6718" w:rsidP="00BE5467">
            <w:pPr>
              <w:widowControl/>
              <w:spacing w:line="360" w:lineRule="auto"/>
              <w:jc w:val="left"/>
              <w:rPr>
                <w:rFonts w:ascii="宋体" w:hAnsi="宋体" w:cs="宋体"/>
                <w:color w:val="000000" w:themeColor="text1"/>
                <w:kern w:val="0"/>
              </w:rPr>
            </w:pPr>
            <w:r>
              <w:t>自动根据获取的献血者信息</w:t>
            </w:r>
            <w:proofErr w:type="gramStart"/>
            <w:r>
              <w:t>套打献血</w:t>
            </w:r>
            <w:proofErr w:type="gramEnd"/>
            <w:r>
              <w:t>登记表。</w:t>
            </w:r>
          </w:p>
        </w:tc>
      </w:tr>
      <w:tr w:rsidR="00AE6718" w:rsidTr="00BE5467">
        <w:trPr>
          <w:trHeight w:val="283"/>
        </w:trPr>
        <w:tc>
          <w:tcPr>
            <w:tcW w:w="1605" w:type="dxa"/>
            <w:vMerge/>
            <w:tcBorders>
              <w:left w:val="single" w:sz="4" w:space="0" w:color="auto"/>
              <w:right w:val="single" w:sz="4" w:space="0" w:color="auto"/>
            </w:tcBorders>
            <w:vAlign w:val="center"/>
          </w:tcPr>
          <w:p w:rsidR="00AE6718" w:rsidRDefault="00AE6718" w:rsidP="00BE5467">
            <w:pPr>
              <w:widowControl/>
              <w:spacing w:line="360" w:lineRule="auto"/>
              <w:jc w:val="left"/>
              <w:rPr>
                <w:rFonts w:ascii="宋体" w:hAnsi="宋体" w:cs="宋体"/>
                <w:b/>
                <w:bCs/>
                <w:color w:val="000000" w:themeColor="text1"/>
                <w:kern w:val="0"/>
              </w:rPr>
            </w:pPr>
          </w:p>
        </w:tc>
        <w:tc>
          <w:tcPr>
            <w:tcW w:w="1847" w:type="dxa"/>
            <w:vMerge/>
            <w:tcBorders>
              <w:left w:val="nil"/>
              <w:bottom w:val="single" w:sz="4" w:space="0" w:color="auto"/>
              <w:right w:val="single" w:sz="4" w:space="0" w:color="auto"/>
            </w:tcBorders>
            <w:shd w:val="clear" w:color="auto" w:fill="auto"/>
            <w:vAlign w:val="center"/>
          </w:tcPr>
          <w:p w:rsidR="00AE6718" w:rsidRDefault="00AE6718" w:rsidP="00BE5467">
            <w:pPr>
              <w:widowControl/>
              <w:spacing w:line="360" w:lineRule="auto"/>
              <w:jc w:val="left"/>
              <w:rPr>
                <w:rFonts w:ascii="宋体" w:hAnsi="宋体" w:cs="宋体"/>
                <w:color w:val="000000" w:themeColor="text1"/>
                <w:kern w:val="0"/>
              </w:rPr>
            </w:pPr>
          </w:p>
        </w:tc>
        <w:tc>
          <w:tcPr>
            <w:tcW w:w="5945" w:type="dxa"/>
            <w:tcBorders>
              <w:top w:val="single" w:sz="4" w:space="0" w:color="auto"/>
              <w:left w:val="nil"/>
              <w:bottom w:val="single" w:sz="4" w:space="0" w:color="auto"/>
              <w:right w:val="single" w:sz="4" w:space="0" w:color="auto"/>
            </w:tcBorders>
            <w:shd w:val="clear" w:color="auto" w:fill="auto"/>
          </w:tcPr>
          <w:p w:rsidR="00AE6718" w:rsidRDefault="00AE6718" w:rsidP="00BE5467">
            <w:pPr>
              <w:widowControl/>
              <w:spacing w:line="360" w:lineRule="auto"/>
              <w:jc w:val="left"/>
              <w:rPr>
                <w:rFonts w:ascii="宋体" w:hAnsi="宋体" w:cs="宋体"/>
                <w:color w:val="000000" w:themeColor="text1"/>
                <w:kern w:val="0"/>
              </w:rPr>
            </w:pPr>
            <w:r>
              <w:t>满足</w:t>
            </w:r>
            <w:r>
              <w:t>“</w:t>
            </w:r>
            <w:r>
              <w:t>一法两</w:t>
            </w:r>
            <w:proofErr w:type="gramStart"/>
            <w:r>
              <w:t>规</w:t>
            </w:r>
            <w:proofErr w:type="gramEnd"/>
            <w:r>
              <w:t>”</w:t>
            </w:r>
            <w:r>
              <w:t>等国家相关规定，对身份信息进行特定核查</w:t>
            </w:r>
          </w:p>
        </w:tc>
      </w:tr>
      <w:tr w:rsidR="00AE6718" w:rsidTr="00BE5467">
        <w:trPr>
          <w:trHeight w:val="283"/>
        </w:trPr>
        <w:tc>
          <w:tcPr>
            <w:tcW w:w="1605" w:type="dxa"/>
            <w:vMerge/>
            <w:tcBorders>
              <w:left w:val="single" w:sz="4" w:space="0" w:color="auto"/>
              <w:right w:val="single" w:sz="4" w:space="0" w:color="auto"/>
            </w:tcBorders>
            <w:vAlign w:val="center"/>
          </w:tcPr>
          <w:p w:rsidR="00AE6718" w:rsidRDefault="00AE6718" w:rsidP="00BE5467">
            <w:pPr>
              <w:widowControl/>
              <w:spacing w:line="360" w:lineRule="auto"/>
              <w:jc w:val="left"/>
              <w:rPr>
                <w:rFonts w:ascii="宋体" w:hAnsi="宋体" w:cs="宋体"/>
                <w:b/>
                <w:bCs/>
                <w:color w:val="000000" w:themeColor="text1"/>
                <w:kern w:val="0"/>
              </w:rPr>
            </w:pPr>
          </w:p>
        </w:tc>
        <w:tc>
          <w:tcPr>
            <w:tcW w:w="1847" w:type="dxa"/>
            <w:tcBorders>
              <w:top w:val="single" w:sz="4" w:space="0" w:color="auto"/>
              <w:left w:val="nil"/>
              <w:bottom w:val="single" w:sz="4" w:space="0" w:color="auto"/>
              <w:right w:val="single" w:sz="4" w:space="0" w:color="auto"/>
            </w:tcBorders>
            <w:shd w:val="clear" w:color="auto" w:fill="auto"/>
            <w:vAlign w:val="center"/>
          </w:tcPr>
          <w:p w:rsidR="00AE6718" w:rsidRDefault="00AE6718" w:rsidP="00BE5467">
            <w:pPr>
              <w:widowControl/>
              <w:spacing w:line="360" w:lineRule="auto"/>
              <w:jc w:val="left"/>
              <w:rPr>
                <w:rFonts w:ascii="宋体" w:hAnsi="宋体" w:cs="宋体"/>
                <w:color w:val="000000" w:themeColor="text1"/>
                <w:kern w:val="0"/>
              </w:rPr>
            </w:pPr>
            <w:r>
              <w:rPr>
                <w:rFonts w:asciiTheme="majorEastAsia" w:eastAsiaTheme="majorEastAsia" w:hAnsiTheme="majorEastAsia" w:hint="eastAsia"/>
                <w:sz w:val="24"/>
                <w:szCs w:val="24"/>
              </w:rPr>
              <w:t>▲</w:t>
            </w:r>
            <w:r>
              <w:rPr>
                <w:rFonts w:ascii="宋体" w:hAnsi="宋体" w:cs="宋体"/>
                <w:color w:val="000000" w:themeColor="text1"/>
                <w:kern w:val="0"/>
              </w:rPr>
              <w:t>独立身份证采集功能</w:t>
            </w:r>
          </w:p>
        </w:tc>
        <w:tc>
          <w:tcPr>
            <w:tcW w:w="5945" w:type="dxa"/>
            <w:tcBorders>
              <w:top w:val="single" w:sz="4" w:space="0" w:color="auto"/>
              <w:left w:val="nil"/>
              <w:bottom w:val="single" w:sz="4" w:space="0" w:color="auto"/>
              <w:right w:val="single" w:sz="4" w:space="0" w:color="auto"/>
            </w:tcBorders>
            <w:shd w:val="clear" w:color="auto" w:fill="auto"/>
          </w:tcPr>
          <w:p w:rsidR="00AE6718" w:rsidRDefault="00AE6718" w:rsidP="00BE5467">
            <w:pPr>
              <w:widowControl/>
              <w:spacing w:line="360" w:lineRule="auto"/>
              <w:jc w:val="left"/>
            </w:pPr>
            <w:r>
              <w:t>独立的</w:t>
            </w:r>
            <w:r>
              <w:rPr>
                <w:rFonts w:ascii="宋体" w:hAnsi="宋体" w:cs="宋体"/>
                <w:color w:val="000000" w:themeColor="text1"/>
                <w:kern w:val="0"/>
              </w:rPr>
              <w:t>身份证采集功能模块，能自动识别和读取第二代居民身份证信息，并</w:t>
            </w:r>
            <w:r>
              <w:rPr>
                <w:rFonts w:ascii="Arial" w:hAnsi="Arial" w:cs="Tahoma"/>
              </w:rPr>
              <w:t>用于检查献血者是否适宜献血，并可将采集的身</w:t>
            </w:r>
            <w:r>
              <w:rPr>
                <w:rFonts w:ascii="Arial" w:hAnsi="Arial" w:cs="Tahoma"/>
              </w:rPr>
              <w:lastRenderedPageBreak/>
              <w:t>份证信息保存到系统中。</w:t>
            </w:r>
          </w:p>
        </w:tc>
      </w:tr>
    </w:tbl>
    <w:p w:rsidR="00AE6718" w:rsidRDefault="00AE6718" w:rsidP="00AE6718">
      <w:pPr>
        <w:spacing w:line="360" w:lineRule="auto"/>
        <w:rPr>
          <w:rFonts w:asciiTheme="majorEastAsia" w:eastAsiaTheme="majorEastAsia" w:hAnsiTheme="majorEastAsia" w:cs="Microsoft JhengHei"/>
          <w:sz w:val="24"/>
          <w:szCs w:val="24"/>
        </w:rPr>
      </w:pPr>
    </w:p>
    <w:p w:rsidR="00AE6718" w:rsidRDefault="00AE6718" w:rsidP="00AE6718">
      <w:pPr>
        <w:spacing w:line="360" w:lineRule="auto"/>
        <w:rPr>
          <w:rFonts w:asciiTheme="majorEastAsia" w:eastAsiaTheme="majorEastAsia" w:hAnsiTheme="majorEastAsia" w:cs="Microsoft JhengHei"/>
          <w:sz w:val="24"/>
          <w:szCs w:val="24"/>
        </w:rPr>
      </w:pPr>
      <w:r>
        <w:rPr>
          <w:rFonts w:asciiTheme="majorEastAsia" w:eastAsiaTheme="majorEastAsia" w:hAnsiTheme="majorEastAsia" w:cs="Microsoft JhengHei"/>
          <w:sz w:val="24"/>
          <w:szCs w:val="24"/>
        </w:rPr>
        <w:t>五、</w:t>
      </w:r>
      <w:r>
        <w:rPr>
          <w:rFonts w:asciiTheme="majorEastAsia" w:eastAsiaTheme="majorEastAsia" w:hAnsiTheme="majorEastAsia" w:cs="Microsoft JhengHei" w:hint="eastAsia"/>
          <w:sz w:val="24"/>
          <w:szCs w:val="24"/>
        </w:rPr>
        <w:t>售后服务要求：</w:t>
      </w:r>
    </w:p>
    <w:p w:rsidR="00AE6718" w:rsidRDefault="00AE6718" w:rsidP="00AE6718">
      <w:pPr>
        <w:spacing w:line="360" w:lineRule="auto"/>
        <w:jc w:val="left"/>
        <w:rPr>
          <w:rFonts w:asciiTheme="minorEastAsia" w:hAnsiTheme="minorEastAsia"/>
          <w:sz w:val="24"/>
          <w:szCs w:val="24"/>
        </w:rPr>
      </w:pPr>
      <w:r>
        <w:rPr>
          <w:rFonts w:asciiTheme="minorEastAsia" w:hAnsiTheme="minorEastAsia" w:hint="eastAsia"/>
          <w:sz w:val="24"/>
          <w:szCs w:val="24"/>
        </w:rPr>
        <w:t>1、培训要求</w:t>
      </w:r>
    </w:p>
    <w:p w:rsidR="00AE6718" w:rsidRDefault="00AE6718" w:rsidP="00AE6718">
      <w:pPr>
        <w:spacing w:line="360" w:lineRule="auto"/>
        <w:jc w:val="left"/>
        <w:rPr>
          <w:rFonts w:asciiTheme="minorEastAsia" w:hAnsiTheme="minorEastAsia"/>
          <w:sz w:val="24"/>
          <w:szCs w:val="24"/>
        </w:rPr>
      </w:pPr>
      <w:r>
        <w:rPr>
          <w:rFonts w:asciiTheme="minorEastAsia" w:hAnsiTheme="minorEastAsia" w:hint="eastAsia"/>
          <w:sz w:val="24"/>
          <w:szCs w:val="24"/>
        </w:rPr>
        <w:t>中标方应针对软件系统的管理、维护、开发和使用等提供相应的培训。具体培训要求包括：</w:t>
      </w:r>
    </w:p>
    <w:p w:rsidR="00AE6718" w:rsidRDefault="00AE6718" w:rsidP="00AE6718">
      <w:pPr>
        <w:spacing w:line="360" w:lineRule="auto"/>
        <w:jc w:val="left"/>
        <w:rPr>
          <w:rFonts w:asciiTheme="minorEastAsia" w:hAnsiTheme="minorEastAsia"/>
          <w:sz w:val="24"/>
          <w:szCs w:val="24"/>
        </w:rPr>
      </w:pPr>
      <w:r>
        <w:rPr>
          <w:rFonts w:asciiTheme="minorEastAsia" w:hAnsiTheme="minorEastAsia" w:hint="eastAsia"/>
          <w:sz w:val="24"/>
          <w:szCs w:val="24"/>
        </w:rPr>
        <w:t>1)中标方必须提供具有相应专业知识、实际工作和教学经验的培训讲师、辅导人员和相应的教材。培训所使用的语言和教材必须是中文。</w:t>
      </w:r>
    </w:p>
    <w:p w:rsidR="00AE6718" w:rsidRDefault="00AE6718" w:rsidP="00AE6718">
      <w:pPr>
        <w:spacing w:line="360" w:lineRule="auto"/>
        <w:jc w:val="left"/>
        <w:rPr>
          <w:rFonts w:asciiTheme="minorEastAsia" w:hAnsiTheme="minorEastAsia"/>
          <w:sz w:val="24"/>
          <w:szCs w:val="24"/>
        </w:rPr>
      </w:pPr>
      <w:r>
        <w:rPr>
          <w:rFonts w:asciiTheme="minorEastAsia" w:hAnsiTheme="minorEastAsia" w:hint="eastAsia"/>
          <w:sz w:val="24"/>
          <w:szCs w:val="24"/>
        </w:rPr>
        <w:t>2)中标方负责提供培训所需计划和资料（包括纸质文档和电子文档），招标人有权在系统内部使用这些培训资料</w:t>
      </w:r>
    </w:p>
    <w:p w:rsidR="00AE6718" w:rsidRDefault="00AE6718" w:rsidP="00AE6718">
      <w:pPr>
        <w:spacing w:line="360" w:lineRule="auto"/>
        <w:jc w:val="left"/>
        <w:rPr>
          <w:rFonts w:asciiTheme="minorEastAsia" w:hAnsiTheme="minorEastAsia"/>
          <w:sz w:val="24"/>
          <w:szCs w:val="24"/>
        </w:rPr>
      </w:pPr>
      <w:r>
        <w:rPr>
          <w:rFonts w:asciiTheme="minorEastAsia" w:hAnsiTheme="minorEastAsia" w:hint="eastAsia"/>
          <w:sz w:val="24"/>
          <w:szCs w:val="24"/>
        </w:rPr>
        <w:t>2、售后服务</w:t>
      </w:r>
    </w:p>
    <w:p w:rsidR="00AE6718" w:rsidRDefault="00AE6718" w:rsidP="00AE6718">
      <w:pPr>
        <w:spacing w:line="360" w:lineRule="auto"/>
        <w:jc w:val="left"/>
        <w:rPr>
          <w:rFonts w:asciiTheme="minorEastAsia" w:hAnsiTheme="minorEastAsia"/>
          <w:sz w:val="24"/>
          <w:szCs w:val="24"/>
        </w:rPr>
      </w:pPr>
      <w:r>
        <w:rPr>
          <w:rFonts w:asciiTheme="minorEastAsia" w:hAnsiTheme="minorEastAsia" w:hint="eastAsia"/>
          <w:sz w:val="24"/>
          <w:szCs w:val="24"/>
        </w:rPr>
        <w:t>1)中标单位提供系统验收合格后1年内的免费技术支持服务</w:t>
      </w:r>
    </w:p>
    <w:p w:rsidR="00AE6718" w:rsidRDefault="00AE6718" w:rsidP="00AE6718">
      <w:pPr>
        <w:spacing w:line="360" w:lineRule="auto"/>
        <w:jc w:val="left"/>
        <w:rPr>
          <w:rFonts w:asciiTheme="minorEastAsia" w:hAnsiTheme="minorEastAsia"/>
          <w:sz w:val="24"/>
          <w:szCs w:val="24"/>
        </w:rPr>
      </w:pPr>
      <w:r>
        <w:rPr>
          <w:rFonts w:asciiTheme="minorEastAsia" w:hAnsiTheme="minorEastAsia" w:hint="eastAsia"/>
          <w:sz w:val="24"/>
          <w:szCs w:val="24"/>
        </w:rPr>
        <w:t>中标方必须提供7×24小时免费电话技术支持（开通24小时电话服务热线），包括邮件、电话、远程维护、现场服务等方式。并保证1个小时内对用户的维护请求予以响应，若远程维护无法解决，12小时内到达现场，24小时内恢复系统正常运行</w:t>
      </w:r>
    </w:p>
    <w:p w:rsidR="00AE6718" w:rsidRDefault="00AE6718" w:rsidP="00AE6718">
      <w:pPr>
        <w:spacing w:line="360" w:lineRule="auto"/>
        <w:jc w:val="left"/>
        <w:rPr>
          <w:rFonts w:asciiTheme="minorEastAsia" w:hAnsiTheme="minorEastAsia"/>
          <w:sz w:val="24"/>
          <w:szCs w:val="24"/>
        </w:rPr>
      </w:pPr>
      <w:r>
        <w:rPr>
          <w:rFonts w:asciiTheme="minorEastAsia" w:hAnsiTheme="minorEastAsia" w:hint="eastAsia"/>
          <w:sz w:val="24"/>
          <w:szCs w:val="24"/>
        </w:rPr>
        <w:t>3、付款方式</w:t>
      </w:r>
    </w:p>
    <w:p w:rsidR="00AE6718" w:rsidRDefault="00AE6718" w:rsidP="00AE6718">
      <w:pPr>
        <w:spacing w:line="360" w:lineRule="auto"/>
        <w:jc w:val="left"/>
        <w:rPr>
          <w:rFonts w:asciiTheme="minorEastAsia" w:hAnsiTheme="minorEastAsia"/>
          <w:sz w:val="24"/>
          <w:szCs w:val="24"/>
        </w:rPr>
      </w:pPr>
      <w:r>
        <w:rPr>
          <w:rFonts w:asciiTheme="minorEastAsia" w:hAnsiTheme="minorEastAsia" w:hint="eastAsia"/>
          <w:sz w:val="24"/>
          <w:szCs w:val="24"/>
        </w:rPr>
        <w:t>合同验收合格后三十个工作日支付全部款项。</w:t>
      </w:r>
    </w:p>
    <w:p w:rsidR="00AE6718" w:rsidRDefault="00AE6718" w:rsidP="00AE6718">
      <w:pPr>
        <w:spacing w:line="360" w:lineRule="auto"/>
        <w:jc w:val="left"/>
        <w:rPr>
          <w:rFonts w:asciiTheme="minorEastAsia" w:hAnsiTheme="minorEastAsia"/>
          <w:sz w:val="24"/>
          <w:szCs w:val="24"/>
        </w:rPr>
      </w:pPr>
      <w:r>
        <w:rPr>
          <w:rFonts w:asciiTheme="minorEastAsia" w:hAnsiTheme="minorEastAsia" w:hint="eastAsia"/>
          <w:sz w:val="24"/>
          <w:szCs w:val="24"/>
        </w:rPr>
        <w:t>4、其他要求</w:t>
      </w:r>
    </w:p>
    <w:p w:rsidR="00AE6718" w:rsidRDefault="00AE6718" w:rsidP="00AE6718">
      <w:pPr>
        <w:spacing w:line="360" w:lineRule="auto"/>
        <w:jc w:val="left"/>
        <w:rPr>
          <w:rFonts w:asciiTheme="minorEastAsia" w:hAnsiTheme="minorEastAsia"/>
          <w:sz w:val="24"/>
          <w:szCs w:val="24"/>
        </w:rPr>
      </w:pPr>
      <w:r>
        <w:rPr>
          <w:rFonts w:asciiTheme="minorEastAsia" w:hAnsiTheme="minorEastAsia" w:hint="eastAsia"/>
          <w:sz w:val="24"/>
          <w:szCs w:val="24"/>
        </w:rPr>
        <w:t>新建设系统必须与采购单位现有采供血业务管理系统进行严格对接且符合现有硬件环境及软件架构，不能更换现有业务系统，保证数据的安全性（提供业务系统承建商开具的证明）。</w:t>
      </w:r>
    </w:p>
    <w:p w:rsidR="00AE6718" w:rsidRDefault="00AE6718" w:rsidP="00AE6718">
      <w:pPr>
        <w:spacing w:line="360" w:lineRule="auto"/>
        <w:jc w:val="left"/>
        <w:rPr>
          <w:rFonts w:asciiTheme="minorEastAsia" w:hAnsiTheme="minorEastAsia"/>
          <w:sz w:val="24"/>
          <w:szCs w:val="24"/>
        </w:rPr>
      </w:pPr>
    </w:p>
    <w:p w:rsidR="002B2A33" w:rsidRPr="00AE6718" w:rsidRDefault="002B2A33"/>
    <w:sectPr w:rsidR="002B2A33" w:rsidRPr="00AE6718"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242B8"/>
    <w:multiLevelType w:val="multilevel"/>
    <w:tmpl w:val="1B0242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6718"/>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4C59"/>
    <w:rsid w:val="000652C0"/>
    <w:rsid w:val="000667A4"/>
    <w:rsid w:val="00073FCA"/>
    <w:rsid w:val="00075AFB"/>
    <w:rsid w:val="000806D3"/>
    <w:rsid w:val="000809A9"/>
    <w:rsid w:val="000824F8"/>
    <w:rsid w:val="00083451"/>
    <w:rsid w:val="0008383D"/>
    <w:rsid w:val="00090AF4"/>
    <w:rsid w:val="00092779"/>
    <w:rsid w:val="0009356C"/>
    <w:rsid w:val="00094780"/>
    <w:rsid w:val="00094E79"/>
    <w:rsid w:val="00095949"/>
    <w:rsid w:val="000964AA"/>
    <w:rsid w:val="000A1531"/>
    <w:rsid w:val="000A1557"/>
    <w:rsid w:val="000A395E"/>
    <w:rsid w:val="000A5C9F"/>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6921"/>
    <w:rsid w:val="002015EE"/>
    <w:rsid w:val="00210C6B"/>
    <w:rsid w:val="00212B4D"/>
    <w:rsid w:val="0021353E"/>
    <w:rsid w:val="00215979"/>
    <w:rsid w:val="0021762B"/>
    <w:rsid w:val="0022209B"/>
    <w:rsid w:val="00222F2F"/>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8C"/>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72420"/>
    <w:rsid w:val="0037286D"/>
    <w:rsid w:val="003732AC"/>
    <w:rsid w:val="0037464E"/>
    <w:rsid w:val="00376F21"/>
    <w:rsid w:val="00382DAD"/>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F163B"/>
    <w:rsid w:val="003F4B5B"/>
    <w:rsid w:val="003F57D5"/>
    <w:rsid w:val="003F6B16"/>
    <w:rsid w:val="00401639"/>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73D2"/>
    <w:rsid w:val="004475C4"/>
    <w:rsid w:val="00451056"/>
    <w:rsid w:val="00453367"/>
    <w:rsid w:val="0045557F"/>
    <w:rsid w:val="0045657C"/>
    <w:rsid w:val="00456D14"/>
    <w:rsid w:val="00460BF6"/>
    <w:rsid w:val="00462A7D"/>
    <w:rsid w:val="00462E05"/>
    <w:rsid w:val="00464198"/>
    <w:rsid w:val="0046526E"/>
    <w:rsid w:val="00466C56"/>
    <w:rsid w:val="00471700"/>
    <w:rsid w:val="004724C0"/>
    <w:rsid w:val="00472571"/>
    <w:rsid w:val="00472DDB"/>
    <w:rsid w:val="00475185"/>
    <w:rsid w:val="0048011A"/>
    <w:rsid w:val="004856E8"/>
    <w:rsid w:val="004906DA"/>
    <w:rsid w:val="00490B47"/>
    <w:rsid w:val="00491EA7"/>
    <w:rsid w:val="00494191"/>
    <w:rsid w:val="004951DA"/>
    <w:rsid w:val="004954CD"/>
    <w:rsid w:val="004A0524"/>
    <w:rsid w:val="004A516D"/>
    <w:rsid w:val="004A77D4"/>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3500"/>
    <w:rsid w:val="00505600"/>
    <w:rsid w:val="005076C4"/>
    <w:rsid w:val="005143FC"/>
    <w:rsid w:val="005177E4"/>
    <w:rsid w:val="005220BB"/>
    <w:rsid w:val="00522D3D"/>
    <w:rsid w:val="00524874"/>
    <w:rsid w:val="0053148D"/>
    <w:rsid w:val="005315D0"/>
    <w:rsid w:val="00532934"/>
    <w:rsid w:val="00532DDD"/>
    <w:rsid w:val="00532DED"/>
    <w:rsid w:val="0054355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85F27"/>
    <w:rsid w:val="00591BAE"/>
    <w:rsid w:val="005967D6"/>
    <w:rsid w:val="005B0715"/>
    <w:rsid w:val="005B15E4"/>
    <w:rsid w:val="005B207E"/>
    <w:rsid w:val="005B2251"/>
    <w:rsid w:val="005B29A7"/>
    <w:rsid w:val="005B52C6"/>
    <w:rsid w:val="005B68C1"/>
    <w:rsid w:val="005B7C56"/>
    <w:rsid w:val="005C15FE"/>
    <w:rsid w:val="005C32FF"/>
    <w:rsid w:val="005C3A3D"/>
    <w:rsid w:val="005C4732"/>
    <w:rsid w:val="005C522F"/>
    <w:rsid w:val="005C6E85"/>
    <w:rsid w:val="005C7FC0"/>
    <w:rsid w:val="005D1595"/>
    <w:rsid w:val="005D17B3"/>
    <w:rsid w:val="005D4039"/>
    <w:rsid w:val="005D626F"/>
    <w:rsid w:val="005D74A2"/>
    <w:rsid w:val="005E1CF7"/>
    <w:rsid w:val="005E46F4"/>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7F1E"/>
    <w:rsid w:val="00652F90"/>
    <w:rsid w:val="00654A03"/>
    <w:rsid w:val="00655160"/>
    <w:rsid w:val="00656860"/>
    <w:rsid w:val="00665629"/>
    <w:rsid w:val="0066595D"/>
    <w:rsid w:val="0066697C"/>
    <w:rsid w:val="0067197A"/>
    <w:rsid w:val="00672E5C"/>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21DE"/>
    <w:rsid w:val="006D3404"/>
    <w:rsid w:val="006D6990"/>
    <w:rsid w:val="006D7A9A"/>
    <w:rsid w:val="006E1A03"/>
    <w:rsid w:val="006E29DA"/>
    <w:rsid w:val="006E4FF6"/>
    <w:rsid w:val="006E7DB3"/>
    <w:rsid w:val="006F013D"/>
    <w:rsid w:val="006F47DA"/>
    <w:rsid w:val="007014C0"/>
    <w:rsid w:val="00702B5E"/>
    <w:rsid w:val="007074A5"/>
    <w:rsid w:val="00712A85"/>
    <w:rsid w:val="007159C2"/>
    <w:rsid w:val="0072087D"/>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F00A2"/>
    <w:rsid w:val="008F261A"/>
    <w:rsid w:val="008F535C"/>
    <w:rsid w:val="008F5C42"/>
    <w:rsid w:val="008F6CF8"/>
    <w:rsid w:val="008F791E"/>
    <w:rsid w:val="0090234C"/>
    <w:rsid w:val="00906A19"/>
    <w:rsid w:val="00910567"/>
    <w:rsid w:val="00913B58"/>
    <w:rsid w:val="00916743"/>
    <w:rsid w:val="00917C17"/>
    <w:rsid w:val="009200BA"/>
    <w:rsid w:val="009216BA"/>
    <w:rsid w:val="0092750A"/>
    <w:rsid w:val="0093152A"/>
    <w:rsid w:val="009316A0"/>
    <w:rsid w:val="00931E79"/>
    <w:rsid w:val="00943180"/>
    <w:rsid w:val="0094643F"/>
    <w:rsid w:val="0094664E"/>
    <w:rsid w:val="00950386"/>
    <w:rsid w:val="009534A4"/>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B6C86"/>
    <w:rsid w:val="009C628C"/>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4CA3"/>
    <w:rsid w:val="00AD1CB2"/>
    <w:rsid w:val="00AE32C4"/>
    <w:rsid w:val="00AE3F18"/>
    <w:rsid w:val="00AE50E9"/>
    <w:rsid w:val="00AE6718"/>
    <w:rsid w:val="00AF1C54"/>
    <w:rsid w:val="00AF3B50"/>
    <w:rsid w:val="00B02C23"/>
    <w:rsid w:val="00B07D03"/>
    <w:rsid w:val="00B106F0"/>
    <w:rsid w:val="00B10FED"/>
    <w:rsid w:val="00B13463"/>
    <w:rsid w:val="00B13D96"/>
    <w:rsid w:val="00B201AB"/>
    <w:rsid w:val="00B20636"/>
    <w:rsid w:val="00B328B9"/>
    <w:rsid w:val="00B37DCE"/>
    <w:rsid w:val="00B42452"/>
    <w:rsid w:val="00B436A5"/>
    <w:rsid w:val="00B45A33"/>
    <w:rsid w:val="00B46A69"/>
    <w:rsid w:val="00B479D1"/>
    <w:rsid w:val="00B527ED"/>
    <w:rsid w:val="00B60AE7"/>
    <w:rsid w:val="00B61FA8"/>
    <w:rsid w:val="00B80EBA"/>
    <w:rsid w:val="00B8133A"/>
    <w:rsid w:val="00B843D2"/>
    <w:rsid w:val="00B86A9D"/>
    <w:rsid w:val="00B8786D"/>
    <w:rsid w:val="00B87C6F"/>
    <w:rsid w:val="00B90D75"/>
    <w:rsid w:val="00B937A1"/>
    <w:rsid w:val="00B95C4A"/>
    <w:rsid w:val="00B96305"/>
    <w:rsid w:val="00BA0C51"/>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39A2"/>
    <w:rsid w:val="00BE4E24"/>
    <w:rsid w:val="00BF11DC"/>
    <w:rsid w:val="00BF42FB"/>
    <w:rsid w:val="00C01546"/>
    <w:rsid w:val="00C11E85"/>
    <w:rsid w:val="00C135C2"/>
    <w:rsid w:val="00C2029E"/>
    <w:rsid w:val="00C206DD"/>
    <w:rsid w:val="00C238E1"/>
    <w:rsid w:val="00C24E24"/>
    <w:rsid w:val="00C25E06"/>
    <w:rsid w:val="00C2656F"/>
    <w:rsid w:val="00C30937"/>
    <w:rsid w:val="00C30C79"/>
    <w:rsid w:val="00C40640"/>
    <w:rsid w:val="00C40739"/>
    <w:rsid w:val="00C40EFC"/>
    <w:rsid w:val="00C45212"/>
    <w:rsid w:val="00C45B42"/>
    <w:rsid w:val="00C472B5"/>
    <w:rsid w:val="00C511CF"/>
    <w:rsid w:val="00C530EB"/>
    <w:rsid w:val="00C53671"/>
    <w:rsid w:val="00C55384"/>
    <w:rsid w:val="00C62395"/>
    <w:rsid w:val="00C624E2"/>
    <w:rsid w:val="00C67ABD"/>
    <w:rsid w:val="00C712B4"/>
    <w:rsid w:val="00C74172"/>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40EA3"/>
    <w:rsid w:val="00D431E1"/>
    <w:rsid w:val="00D46408"/>
    <w:rsid w:val="00D47A76"/>
    <w:rsid w:val="00D47F10"/>
    <w:rsid w:val="00D51B79"/>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4E0D"/>
    <w:rsid w:val="00E97CED"/>
    <w:rsid w:val="00EA0595"/>
    <w:rsid w:val="00EA2F3F"/>
    <w:rsid w:val="00EA3F2E"/>
    <w:rsid w:val="00EA5FB6"/>
    <w:rsid w:val="00EA62B6"/>
    <w:rsid w:val="00EA7424"/>
    <w:rsid w:val="00EA7703"/>
    <w:rsid w:val="00EB0C95"/>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5AB3"/>
    <w:rsid w:val="00ED723E"/>
    <w:rsid w:val="00ED74AA"/>
    <w:rsid w:val="00EE7375"/>
    <w:rsid w:val="00EE7FAC"/>
    <w:rsid w:val="00EF2CED"/>
    <w:rsid w:val="00EF2E0E"/>
    <w:rsid w:val="00EF6FE1"/>
    <w:rsid w:val="00EF71F7"/>
    <w:rsid w:val="00F054F1"/>
    <w:rsid w:val="00F109B5"/>
    <w:rsid w:val="00F10D5E"/>
    <w:rsid w:val="00F12485"/>
    <w:rsid w:val="00F137B6"/>
    <w:rsid w:val="00F14420"/>
    <w:rsid w:val="00F17878"/>
    <w:rsid w:val="00F22B8B"/>
    <w:rsid w:val="00F24889"/>
    <w:rsid w:val="00F25036"/>
    <w:rsid w:val="00F31480"/>
    <w:rsid w:val="00F31B4E"/>
    <w:rsid w:val="00F33C7F"/>
    <w:rsid w:val="00F37457"/>
    <w:rsid w:val="00F37751"/>
    <w:rsid w:val="00F424AA"/>
    <w:rsid w:val="00F50011"/>
    <w:rsid w:val="00F56B77"/>
    <w:rsid w:val="00F63611"/>
    <w:rsid w:val="00F6432C"/>
    <w:rsid w:val="00F67FDC"/>
    <w:rsid w:val="00F708DC"/>
    <w:rsid w:val="00F71666"/>
    <w:rsid w:val="00F74948"/>
    <w:rsid w:val="00F80376"/>
    <w:rsid w:val="00F80FC4"/>
    <w:rsid w:val="00F82012"/>
    <w:rsid w:val="00F82914"/>
    <w:rsid w:val="00F86A32"/>
    <w:rsid w:val="00F90FEE"/>
    <w:rsid w:val="00F9297E"/>
    <w:rsid w:val="00F9687F"/>
    <w:rsid w:val="00FA310E"/>
    <w:rsid w:val="00FA5527"/>
    <w:rsid w:val="00FA6733"/>
    <w:rsid w:val="00FA6809"/>
    <w:rsid w:val="00FB058C"/>
    <w:rsid w:val="00FB3634"/>
    <w:rsid w:val="00FB6E8A"/>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71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E671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981</Characters>
  <Application>Microsoft Office Word</Application>
  <DocSecurity>0</DocSecurity>
  <Lines>8</Lines>
  <Paragraphs>2</Paragraphs>
  <ScaleCrop>false</ScaleCrop>
  <Company>微软中国</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2020-02-07T06:20:00Z</dcterms:created>
  <dcterms:modified xsi:type="dcterms:W3CDTF">2020-02-07T06:21:00Z</dcterms:modified>
</cp:coreProperties>
</file>