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第二章 响应须知</w:t>
      </w:r>
    </w:p>
    <w:p>
      <w:pPr>
        <w:pStyle w:val="2"/>
        <w:tabs>
          <w:tab w:val="left" w:pos="532"/>
        </w:tabs>
        <w:autoSpaceDE w:val="0"/>
        <w:autoSpaceDN w:val="0"/>
        <w:spacing w:line="360" w:lineRule="exact"/>
        <w:ind w:firstLine="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下表有关</w:t>
      </w:r>
      <w:r>
        <w:rPr>
          <w:rFonts w:hint="eastAsia" w:asciiTheme="minorEastAsia" w:hAnsiTheme="minorEastAsia" w:eastAsiaTheme="minorEastAsia"/>
          <w:color w:val="000000" w:themeColor="text1"/>
          <w:sz w:val="24"/>
          <w:szCs w:val="24"/>
          <w14:textFill>
            <w14:solidFill>
              <w14:schemeClr w14:val="tx1"/>
            </w14:solidFill>
          </w14:textFill>
        </w:rPr>
        <w:t>办公消耗用品配送服务项</w:t>
      </w:r>
      <w:r>
        <w:rPr>
          <w:rFonts w:hint="eastAsia" w:ascii="宋体" w:hAnsi="宋体"/>
          <w:color w:val="000000" w:themeColor="text1"/>
          <w:sz w:val="24"/>
          <w14:textFill>
            <w14:solidFill>
              <w14:schemeClr w14:val="tx1"/>
            </w14:solidFill>
          </w14:textFill>
        </w:rPr>
        <w:t>目采购的资料是对“采购公告”的具体补充和修改，如有矛盾应以本响应资料表为准。</w:t>
      </w:r>
    </w:p>
    <w:p>
      <w:pPr>
        <w:pStyle w:val="2"/>
        <w:tabs>
          <w:tab w:val="left" w:pos="532"/>
        </w:tabs>
        <w:autoSpaceDE w:val="0"/>
        <w:autoSpaceDN w:val="0"/>
        <w:spacing w:line="360" w:lineRule="exact"/>
        <w:ind w:firstLine="0"/>
        <w:rPr>
          <w:rFonts w:ascii="宋体" w:hAnsi="宋体"/>
          <w:color w:val="000000" w:themeColor="text1"/>
          <w:sz w:val="24"/>
          <w14:textFill>
            <w14:solidFill>
              <w14:schemeClr w14:val="tx1"/>
            </w14:solidFill>
          </w14:textFill>
        </w:rPr>
      </w:pPr>
    </w:p>
    <w:tbl>
      <w:tblPr>
        <w:tblStyle w:val="4"/>
        <w:tblW w:w="8416" w:type="dxa"/>
        <w:tblInd w:w="-1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72"/>
        <w:gridCol w:w="77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pStyle w:val="2"/>
              <w:tabs>
                <w:tab w:val="left" w:pos="532"/>
              </w:tabs>
              <w:autoSpaceDE w:val="0"/>
              <w:autoSpaceDN w:val="0"/>
              <w:spacing w:before="120" w:after="120" w:line="240" w:lineRule="atLeast"/>
              <w:ind w:firstLine="0"/>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条款号</w:t>
            </w:r>
          </w:p>
        </w:tc>
        <w:tc>
          <w:tcPr>
            <w:tcW w:w="7744" w:type="dxa"/>
          </w:tcPr>
          <w:p>
            <w:pPr>
              <w:pStyle w:val="2"/>
              <w:tabs>
                <w:tab w:val="left" w:pos="532"/>
              </w:tabs>
              <w:autoSpaceDE w:val="0"/>
              <w:autoSpaceDN w:val="0"/>
              <w:spacing w:before="120" w:after="120" w:line="240" w:lineRule="atLeast"/>
              <w:ind w:left="57" w:right="57" w:firstLine="0"/>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8416" w:type="dxa"/>
            <w:gridSpan w:val="2"/>
          </w:tcPr>
          <w:p>
            <w:pPr>
              <w:pStyle w:val="2"/>
              <w:tabs>
                <w:tab w:val="left" w:pos="532"/>
              </w:tabs>
              <w:autoSpaceDE w:val="0"/>
              <w:autoSpaceDN w:val="0"/>
              <w:spacing w:before="120" w:after="120" w:line="240" w:lineRule="atLeast"/>
              <w:ind w:left="57" w:right="57" w:firstLine="0"/>
              <w:jc w:val="center"/>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1说明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.1</w:t>
            </w:r>
          </w:p>
        </w:tc>
        <w:tc>
          <w:tcPr>
            <w:tcW w:w="7744" w:type="dxa"/>
          </w:tcPr>
          <w:p>
            <w:pPr>
              <w:kinsoku w:val="0"/>
              <w:autoSpaceDE w:val="0"/>
              <w:autoSpaceDN w:val="0"/>
              <w:spacing w:line="240" w:lineRule="atLeast"/>
              <w:ind w:left="1780" w:right="57" w:hanging="178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采购人名称：        上海市血液中心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1.2</w:t>
            </w:r>
          </w:p>
        </w:tc>
        <w:tc>
          <w:tcPr>
            <w:tcW w:w="7744" w:type="dxa"/>
          </w:tcPr>
          <w:p>
            <w:pPr>
              <w:kinsoku w:val="0"/>
              <w:autoSpaceDE w:val="0"/>
              <w:autoSpaceDN w:val="0"/>
              <w:spacing w:line="240" w:lineRule="atLeast"/>
              <w:ind w:left="1780" w:right="57" w:hanging="178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地址：              中国上海市虹桥路1191号</w:t>
            </w:r>
          </w:p>
          <w:p>
            <w:pPr>
              <w:kinsoku w:val="0"/>
              <w:autoSpaceDE w:val="0"/>
              <w:autoSpaceDN w:val="0"/>
              <w:spacing w:line="240" w:lineRule="atLeast"/>
              <w:ind w:left="1780" w:right="57" w:hanging="178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联系人：            蒋晓波</w:t>
            </w:r>
          </w:p>
          <w:p>
            <w:pPr>
              <w:kinsoku w:val="0"/>
              <w:autoSpaceDE w:val="0"/>
              <w:autoSpaceDN w:val="0"/>
              <w:spacing w:line="240" w:lineRule="atLeast"/>
              <w:ind w:left="1780" w:right="57" w:hanging="178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电话：              +86-21-62758027转1847</w:t>
            </w:r>
          </w:p>
          <w:p>
            <w:pPr>
              <w:kinsoku w:val="0"/>
              <w:autoSpaceDE w:val="0"/>
              <w:autoSpaceDN w:val="0"/>
              <w:spacing w:line="240" w:lineRule="atLeast"/>
              <w:ind w:left="1780" w:right="57" w:hanging="178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传真：              +86-21-62088206</w:t>
            </w:r>
          </w:p>
          <w:p>
            <w:pPr>
              <w:kinsoku w:val="0"/>
              <w:autoSpaceDE w:val="0"/>
              <w:autoSpaceDN w:val="0"/>
              <w:spacing w:line="240" w:lineRule="atLeast"/>
              <w:ind w:left="1780" w:right="57" w:hanging="178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电子邮箱：          </w:t>
            </w:r>
            <w:r>
              <w:fldChar w:fldCharType="begin"/>
            </w:r>
            <w:r>
              <w:instrText xml:space="preserve"> HYPERLINK "mailto:jiangxiaobo@sbc.org.cn%20；" </w:instrText>
            </w:r>
            <w:r>
              <w:fldChar w:fldCharType="separate"/>
            </w:r>
            <w:r>
              <w:rPr>
                <w:rFonts w:hint="eastAsia" w:ascii="宋体" w:hAnsi="宋体"/>
                <w:color w:val="000000" w:themeColor="text1"/>
                <w14:textFill>
                  <w14:solidFill>
                    <w14:schemeClr w14:val="tx1"/>
                  </w14:solidFill>
                </w14:textFill>
              </w:rPr>
              <w:t>jiangxiaobo</w:t>
            </w:r>
            <w:r>
              <w:rPr>
                <w:rFonts w:ascii="宋体" w:hAnsi="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sbc.org.cn</w:t>
            </w:r>
            <w:r>
              <w:rPr>
                <w:rFonts w:hint="eastAsia" w:ascii="宋体" w:hAnsi="宋体"/>
                <w:color w:val="000000" w:themeColor="text1"/>
                <w14:textFill>
                  <w14:solidFill>
                    <w14:schemeClr w14:val="tx1"/>
                  </w14:solidFill>
                </w14:textFill>
              </w:rPr>
              <w:fldChar w:fldCharType="end"/>
            </w:r>
          </w:p>
          <w:p>
            <w:pPr>
              <w:kinsoku w:val="0"/>
              <w:autoSpaceDE w:val="0"/>
              <w:autoSpaceDN w:val="0"/>
              <w:spacing w:line="240" w:lineRule="atLeast"/>
              <w:ind w:left="1780" w:right="57" w:hanging="178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户名</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              上海市血液中心</w:t>
            </w:r>
          </w:p>
          <w:p>
            <w:pPr>
              <w:kinsoku w:val="0"/>
              <w:autoSpaceDE w:val="0"/>
              <w:autoSpaceDN w:val="0"/>
              <w:spacing w:line="240" w:lineRule="atLeast"/>
              <w:ind w:left="1780" w:right="57" w:hanging="1780"/>
              <w:jc w:val="left"/>
              <w:textAlignment w:val="bottom"/>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开户银行</w:t>
            </w:r>
            <w:r>
              <w:rPr>
                <w:rFonts w:hint="eastAsia" w:ascii="宋体" w:hAnsi="宋体"/>
                <w:color w:val="000000" w:themeColor="text1"/>
                <w:sz w:val="24"/>
                <w14:textFill>
                  <w14:solidFill>
                    <w14:schemeClr w14:val="tx1"/>
                  </w14:solidFill>
                </w14:textFill>
              </w:rPr>
              <w:t>(人民币)</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  中信银行上海虹桥支</w:t>
            </w:r>
            <w:r>
              <w:rPr>
                <w:rFonts w:ascii="宋体" w:hAnsi="宋体"/>
                <w:color w:val="000000" w:themeColor="text1"/>
                <w:sz w:val="24"/>
                <w14:textFill>
                  <w14:solidFill>
                    <w14:schemeClr w14:val="tx1"/>
                  </w14:solidFill>
                </w14:textFill>
              </w:rPr>
              <w:t>行</w:t>
            </w:r>
          </w:p>
          <w:p>
            <w:pPr>
              <w:kinsoku w:val="0"/>
              <w:autoSpaceDE w:val="0"/>
              <w:autoSpaceDN w:val="0"/>
              <w:spacing w:line="240" w:lineRule="atLeast"/>
              <w:ind w:left="1780" w:right="57" w:hanging="1780"/>
              <w:jc w:val="left"/>
              <w:textAlignment w:val="bottom"/>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帐号</w:t>
            </w:r>
            <w:r>
              <w:rPr>
                <w:rFonts w:hint="eastAsia" w:ascii="宋体" w:hAnsi="宋体"/>
                <w:color w:val="000000" w:themeColor="text1"/>
                <w:sz w:val="24"/>
                <w14:textFill>
                  <w14:solidFill>
                    <w14:schemeClr w14:val="tx1"/>
                  </w14:solidFill>
                </w14:textFill>
              </w:rPr>
              <w:t>(人民币)</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      7311430183100000139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1.3</w:t>
            </w:r>
          </w:p>
        </w:tc>
        <w:tc>
          <w:tcPr>
            <w:tcW w:w="7744" w:type="dxa"/>
          </w:tcPr>
          <w:p>
            <w:pPr>
              <w:kinsoku w:val="0"/>
              <w:autoSpaceDE w:val="0"/>
              <w:autoSpaceDN w:val="0"/>
              <w:spacing w:line="240" w:lineRule="atLeast"/>
              <w:ind w:left="1782" w:right="57" w:hanging="1725"/>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项目名称：</w:t>
            </w:r>
            <w:r>
              <w:rPr>
                <w:rFonts w:hint="eastAsia" w:asciiTheme="minorEastAsia" w:hAnsiTheme="minorEastAsia" w:eastAsiaTheme="minorEastAsia"/>
                <w:color w:val="000000" w:themeColor="text1"/>
                <w:sz w:val="24"/>
                <w:szCs w:val="24"/>
                <w14:textFill>
                  <w14:solidFill>
                    <w14:schemeClr w14:val="tx1"/>
                  </w14:solidFill>
                </w14:textFill>
              </w:rPr>
              <w:t>办公消耗用品配送服务项目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1.4</w:t>
            </w:r>
          </w:p>
        </w:tc>
        <w:tc>
          <w:tcPr>
            <w:tcW w:w="7744" w:type="dxa"/>
          </w:tcPr>
          <w:p>
            <w:pPr>
              <w:kinsoku w:val="0"/>
              <w:autoSpaceDE w:val="0"/>
              <w:autoSpaceDN w:val="0"/>
              <w:spacing w:line="240" w:lineRule="atLeast"/>
              <w:ind w:left="1782" w:right="57" w:hanging="1725"/>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采购编号：</w:t>
            </w:r>
            <w:r>
              <w:rPr>
                <w:rFonts w:hint="eastAsia" w:asciiTheme="minorEastAsia" w:hAnsiTheme="minorEastAsia" w:eastAsiaTheme="minorEastAsia"/>
                <w:color w:val="000000" w:themeColor="text1"/>
                <w:sz w:val="24"/>
                <w:szCs w:val="24"/>
                <w14:textFill>
                  <w14:solidFill>
                    <w14:schemeClr w14:val="tx1"/>
                  </w14:solidFill>
                </w14:textFill>
              </w:rPr>
              <w:t>SBCNZ-2020-303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p>
        </w:tc>
        <w:tc>
          <w:tcPr>
            <w:tcW w:w="7744" w:type="dxa"/>
          </w:tcPr>
          <w:p>
            <w:pPr>
              <w:kinsoku w:val="0"/>
              <w:autoSpaceDE w:val="0"/>
              <w:autoSpaceDN w:val="0"/>
              <w:spacing w:line="240" w:lineRule="atLeast"/>
              <w:ind w:left="105" w:right="57" w:hanging="48"/>
              <w:jc w:val="left"/>
              <w:textAlignment w:val="bottom"/>
              <w:rPr>
                <w:color w:val="000000" w:themeColor="text1"/>
                <w14:textFill>
                  <w14:solidFill>
                    <w14:schemeClr w14:val="tx1"/>
                  </w14:solidFill>
                </w14:textFill>
              </w:rPr>
            </w:pPr>
            <w:r>
              <w:rPr>
                <w:rFonts w:hint="eastAsia" w:ascii="宋体" w:hAnsi="宋体"/>
                <w:color w:val="000000" w:themeColor="text1"/>
                <w:sz w:val="24"/>
                <w14:textFill>
                  <w14:solidFill>
                    <w14:schemeClr w14:val="tx1"/>
                  </w14:solidFill>
                </w14:textFill>
              </w:rPr>
              <w:t>《成交通知书》发出后</w:t>
            </w:r>
            <w:r>
              <w:rPr>
                <w:rFonts w:ascii="宋体" w:hAnsi="宋体"/>
                <w:color w:val="000000" w:themeColor="text1"/>
                <w:sz w:val="24"/>
                <w14:textFill>
                  <w14:solidFill>
                    <w14:schemeClr w14:val="tx1"/>
                  </w14:solidFill>
                </w14:textFill>
              </w:rPr>
              <w:t>30</w:t>
            </w:r>
            <w:r>
              <w:rPr>
                <w:rFonts w:hint="eastAsia" w:ascii="宋体" w:hAnsi="宋体"/>
                <w:color w:val="000000" w:themeColor="text1"/>
                <w:sz w:val="24"/>
                <w14:textFill>
                  <w14:solidFill>
                    <w14:schemeClr w14:val="tx1"/>
                  </w14:solidFill>
                </w14:textFill>
              </w:rPr>
              <w:t>个工作日内，成交供应商应按照采购文件和成交供应商的响应文件订立书面合同。成交供应商不得与采购人再订立背离合同实质性内容的其他协议。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p>
        </w:tc>
        <w:tc>
          <w:tcPr>
            <w:tcW w:w="7744" w:type="dxa"/>
          </w:tcPr>
          <w:p>
            <w:pPr>
              <w:kinsoku w:val="0"/>
              <w:autoSpaceDE w:val="0"/>
              <w:autoSpaceDN w:val="0"/>
              <w:spacing w:line="240" w:lineRule="atLeast"/>
              <w:ind w:left="105" w:right="57" w:hanging="48"/>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潜在响应人对采购文件有异议的应当在响应截止时间前向上海市血液中心后勤服务部提出，逾期递交的概不接受。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8416" w:type="dxa"/>
            <w:gridSpan w:val="2"/>
          </w:tcPr>
          <w:p>
            <w:pPr>
              <w:kinsoku w:val="0"/>
              <w:autoSpaceDE w:val="0"/>
              <w:autoSpaceDN w:val="0"/>
              <w:spacing w:line="240" w:lineRule="atLeast"/>
              <w:ind w:left="29" w:right="57" w:firstLine="28"/>
              <w:jc w:val="center"/>
              <w:textAlignment w:val="bottom"/>
              <w:rPr>
                <w:rFonts w:ascii="宋体" w:hAnsi="宋体"/>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2资格条件、响应文件的编制和递交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2.1</w:t>
            </w:r>
          </w:p>
        </w:tc>
        <w:tc>
          <w:tcPr>
            <w:tcW w:w="7744" w:type="dxa"/>
          </w:tcPr>
          <w:p>
            <w:pPr>
              <w:kinsoku w:val="0"/>
              <w:autoSpaceDE w:val="0"/>
              <w:autoSpaceDN w:val="0"/>
              <w:spacing w:line="240" w:lineRule="atLeast"/>
              <w:ind w:left="105" w:right="57" w:hanging="48"/>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符合政府采购法第二十二条规定的条件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★2.2</w:t>
            </w:r>
          </w:p>
        </w:tc>
        <w:tc>
          <w:tcPr>
            <w:tcW w:w="7744" w:type="dxa"/>
          </w:tcPr>
          <w:p>
            <w:pPr>
              <w:kinsoku w:val="0"/>
              <w:autoSpaceDE w:val="0"/>
              <w:autoSpaceDN w:val="0"/>
              <w:spacing w:line="240" w:lineRule="atLeast"/>
              <w:ind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响应人</w:t>
            </w:r>
            <w:r>
              <w:rPr>
                <w:rFonts w:hint="eastAsia" w:ascii="宋体" w:hAnsi="宋体" w:cs="宋体"/>
                <w:color w:val="000000" w:themeColor="text1"/>
                <w:sz w:val="24"/>
                <w14:textFill>
                  <w14:solidFill>
                    <w14:schemeClr w14:val="tx1"/>
                  </w14:solidFill>
                </w14:textFill>
              </w:rPr>
              <w:t>资格标准以及</w:t>
            </w:r>
            <w:r>
              <w:rPr>
                <w:rFonts w:hint="eastAsia" w:ascii="宋体" w:hAnsi="宋体"/>
                <w:color w:val="000000" w:themeColor="text1"/>
                <w:sz w:val="24"/>
                <w14:textFill>
                  <w14:solidFill>
                    <w14:schemeClr w14:val="tx1"/>
                  </w14:solidFill>
                </w14:textFill>
              </w:rPr>
              <w:t>必须提交的资格证明文件应包括但不限于。（</w:t>
            </w:r>
            <w:r>
              <w:rPr>
                <w:rFonts w:hint="eastAsia" w:ascii="宋体" w:hAnsi="宋体"/>
                <w:color w:val="000000" w:themeColor="text1"/>
                <w:sz w:val="24"/>
                <w:szCs w:val="24"/>
                <w14:textFill>
                  <w14:solidFill>
                    <w14:schemeClr w14:val="tx1"/>
                  </w14:solidFill>
                </w14:textFill>
              </w:rPr>
              <w:t>响应人应提供下列文件，并按顺序装订成册，编制响应文件目录，未装订成册的视为作废）</w:t>
            </w:r>
            <w:r>
              <w:rPr>
                <w:rFonts w:hint="eastAsia" w:ascii="宋体" w:hAnsi="宋体"/>
                <w:color w:val="000000" w:themeColor="text1"/>
                <w:sz w:val="24"/>
                <w14:textFill>
                  <w14:solidFill>
                    <w14:schemeClr w14:val="tx1"/>
                  </w14:solidFill>
                </w14:textFill>
              </w:rPr>
              <w:t>：</w:t>
            </w:r>
          </w:p>
          <w:p>
            <w:pPr>
              <w:pStyle w:val="6"/>
              <w:numPr>
                <w:ilvl w:val="0"/>
                <w:numId w:val="1"/>
              </w:numPr>
              <w:kinsoku w:val="0"/>
              <w:autoSpaceDE w:val="0"/>
              <w:autoSpaceDN w:val="0"/>
              <w:spacing w:line="240" w:lineRule="atLeast"/>
              <w:ind w:right="57" w:firstLineChars="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目录</w:t>
            </w:r>
          </w:p>
          <w:p>
            <w:pPr>
              <w:pStyle w:val="6"/>
              <w:numPr>
                <w:ilvl w:val="0"/>
                <w:numId w:val="1"/>
              </w:numPr>
              <w:kinsoku w:val="0"/>
              <w:autoSpaceDE w:val="0"/>
              <w:autoSpaceDN w:val="0"/>
              <w:spacing w:line="240" w:lineRule="atLeast"/>
              <w:ind w:right="57" w:firstLineChars="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响应书（格式详见附件）</w:t>
            </w:r>
          </w:p>
          <w:p>
            <w:pPr>
              <w:tabs>
                <w:tab w:val="left" w:pos="1500"/>
              </w:tabs>
              <w:adjustRightInd w:val="0"/>
              <w:snapToGrid w:val="0"/>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响应人应按照采购文件中提供的格式完整、正确填写响应书。</w:t>
            </w:r>
          </w:p>
          <w:p>
            <w:pPr>
              <w:pStyle w:val="6"/>
              <w:numPr>
                <w:ilvl w:val="0"/>
                <w:numId w:val="1"/>
              </w:numPr>
              <w:kinsoku w:val="0"/>
              <w:autoSpaceDE w:val="0"/>
              <w:autoSpaceDN w:val="0"/>
              <w:spacing w:line="240" w:lineRule="atLeast"/>
              <w:ind w:right="57" w:firstLineChars="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响应一览表（格式详见附件）</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（1）响应一览表应填写项目总价。</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（2）响应人应按照采购文件中提供的格式完整、正确填写响应一览表。响应一览表中的响应总价应与响应分项报价表中总价完全一致，否则将可能否决其响应。</w:t>
            </w:r>
          </w:p>
          <w:p>
            <w:pPr>
              <w:pStyle w:val="6"/>
              <w:numPr>
                <w:ilvl w:val="0"/>
                <w:numId w:val="1"/>
              </w:numPr>
              <w:kinsoku w:val="0"/>
              <w:autoSpaceDE w:val="0"/>
              <w:autoSpaceDN w:val="0"/>
              <w:spacing w:line="240" w:lineRule="atLeast"/>
              <w:ind w:right="57" w:firstLineChars="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技术规格偏离表（格式详见附件）</w:t>
            </w:r>
          </w:p>
          <w:p>
            <w:pPr>
              <w:pStyle w:val="6"/>
              <w:numPr>
                <w:ilvl w:val="0"/>
                <w:numId w:val="1"/>
              </w:numPr>
              <w:kinsoku w:val="0"/>
              <w:autoSpaceDE w:val="0"/>
              <w:autoSpaceDN w:val="0"/>
              <w:spacing w:line="240" w:lineRule="atLeast"/>
              <w:ind w:right="57" w:firstLineChars="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商务条款偏离表（格式详见附件）</w:t>
            </w:r>
          </w:p>
          <w:p>
            <w:pPr>
              <w:pStyle w:val="6"/>
              <w:numPr>
                <w:ilvl w:val="0"/>
                <w:numId w:val="1"/>
              </w:numPr>
              <w:kinsoku w:val="0"/>
              <w:autoSpaceDE w:val="0"/>
              <w:autoSpaceDN w:val="0"/>
              <w:spacing w:line="240" w:lineRule="atLeast"/>
              <w:ind w:right="57" w:firstLineChars="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法定代表人授权书（格式详见附件）</w:t>
            </w:r>
          </w:p>
          <w:p>
            <w:pPr>
              <w:tabs>
                <w:tab w:val="left" w:pos="1500"/>
              </w:tabs>
              <w:adjustRightInd w:val="0"/>
              <w:snapToGrid w:val="0"/>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7.响应人基本情况声明（格式详见附件）</w:t>
            </w:r>
          </w:p>
          <w:p>
            <w:pPr>
              <w:tabs>
                <w:tab w:val="left" w:pos="1500"/>
              </w:tabs>
              <w:adjustRightInd w:val="0"/>
              <w:snapToGrid w:val="0"/>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8.响应人在注册地的相关企业注册法律文件。若响应人在中华人民共和国境内注册的，则必须提供企业法人营业执照、税务登记证、组织机构代码证的复印件；（三证合一的响应人仅需提供“企业法人营业执照副本”的复印件）</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9.响应人另需提供响应货品在上海地区的用户名单、联系人及联系电话。</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10.响应人需提供针对本项目的售后服务承诺书；</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11.报价一览表；</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12.报价明细表；</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13.响应人参加政府采购活动前三年内，在经营活动中没有重大违法记录，自行提交承诺函（附件）。</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14.在经营活动中没有重大违法记录，未被“信用中国”网站列入失信执行人、重大税收违法案件当事人名单。</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15.纳税和社保缴纳证明</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16.响应人需提供商誉声明</w:t>
            </w:r>
          </w:p>
          <w:p>
            <w:pPr>
              <w:kinsoku w:val="0"/>
              <w:autoSpaceDE w:val="0"/>
              <w:autoSpaceDN w:val="0"/>
              <w:spacing w:line="240" w:lineRule="atLeast"/>
              <w:ind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17.</w:t>
            </w:r>
            <w:r>
              <w:rPr>
                <w:rFonts w:hint="eastAsia" w:ascii="宋体" w:hAnsi="宋体"/>
                <w:color w:val="000000" w:themeColor="text1"/>
                <w:sz w:val="24"/>
                <w14:textFill>
                  <w14:solidFill>
                    <w14:schemeClr w14:val="tx1"/>
                  </w14:solidFill>
                </w14:textFill>
              </w:rPr>
              <w:t xml:space="preserve"> 市政采网</w:t>
            </w:r>
            <w:r>
              <w:rPr>
                <w:rFonts w:hint="eastAsia" w:ascii="宋体" w:hAnsi="宋体"/>
                <w:color w:val="000000" w:themeColor="text1"/>
                <w:sz w:val="24"/>
                <w:szCs w:val="24"/>
                <w14:textFill>
                  <w14:solidFill>
                    <w14:schemeClr w14:val="tx1"/>
                  </w14:solidFill>
                </w14:textFill>
              </w:rPr>
              <w:t>中办公消耗用品成交通知</w:t>
            </w:r>
            <w:r>
              <w:rPr>
                <w:rFonts w:hint="eastAsia" w:ascii="宋体" w:hAnsi="宋体"/>
                <w:color w:val="000000" w:themeColor="text1"/>
                <w:sz w:val="24"/>
                <w14:textFill>
                  <w14:solidFill>
                    <w14:schemeClr w14:val="tx1"/>
                  </w14:solidFill>
                </w14:textFill>
              </w:rPr>
              <w:t>书，或者其它证明材料。</w:t>
            </w:r>
          </w:p>
          <w:p>
            <w:pPr>
              <w:tabs>
                <w:tab w:val="left" w:pos="1500"/>
              </w:tabs>
              <w:adjustRightInd w:val="0"/>
              <w:snapToGrid w:val="0"/>
              <w:ind w:left="-27" w:leftChars="-13"/>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18.</w:t>
            </w:r>
            <w:r>
              <w:rPr>
                <w:rFonts w:ascii="宋体" w:hAnsi="宋体"/>
                <w:color w:val="000000" w:themeColor="text1"/>
                <w:sz w:val="24"/>
                <w:szCs w:val="24"/>
                <w14:textFill>
                  <w14:solidFill>
                    <w14:schemeClr w14:val="tx1"/>
                  </w14:solidFill>
                </w14:textFill>
              </w:rPr>
              <w:t>响应人认为需加以说明的其他内容</w:t>
            </w:r>
          </w:p>
          <w:p>
            <w:pPr>
              <w:tabs>
                <w:tab w:val="left" w:pos="1500"/>
              </w:tabs>
              <w:adjustRightInd w:val="0"/>
              <w:snapToGrid w:val="0"/>
              <w:ind w:left="-27" w:leftChars="-13"/>
              <w:jc w:val="left"/>
              <w:rPr>
                <w:rFonts w:ascii="宋体" w:hAnsi="宋体" w:cs="宋体"/>
                <w:color w:val="000000" w:themeColor="text1"/>
                <w:sz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注：（1）响应人需提供以上所有资料（在响应文件目录中需标明具体页码）并加盖公章，提供不全者，将导致作废。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2.3</w:t>
            </w:r>
          </w:p>
        </w:tc>
        <w:tc>
          <w:tcPr>
            <w:tcW w:w="7744" w:type="dxa"/>
          </w:tcPr>
          <w:p>
            <w:pPr>
              <w:autoSpaceDE w:val="0"/>
              <w:autoSpaceDN w:val="0"/>
              <w:spacing w:line="240" w:lineRule="atLeast"/>
              <w:ind w:left="1457" w:right="57" w:hanging="1400"/>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响应语言：    中文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★2.4</w:t>
            </w:r>
          </w:p>
        </w:tc>
        <w:tc>
          <w:tcPr>
            <w:tcW w:w="7744" w:type="dxa"/>
          </w:tcPr>
          <w:p>
            <w:pPr>
              <w:autoSpaceDE w:val="0"/>
              <w:autoSpaceDN w:val="0"/>
              <w:spacing w:line="240" w:lineRule="atLeast"/>
              <w:ind w:left="142" w:right="57" w:hanging="85"/>
              <w:jc w:val="left"/>
              <w:textAlignment w:val="bottom"/>
              <w:rPr>
                <w:rFonts w:ascii="宋体" w:hAnsi="宋体"/>
                <w:color w:val="000000" w:themeColor="text1"/>
                <w:sz w:val="24"/>
                <w14:textFill>
                  <w14:solidFill>
                    <w14:schemeClr w14:val="tx1"/>
                  </w14:solidFill>
                </w14:textFill>
              </w:rPr>
            </w:pPr>
            <w:r>
              <w:rPr>
                <w:rFonts w:hint="eastAsia" w:ascii="宋体" w:hAnsi="宋体" w:cs="宋体"/>
                <w:color w:val="000000" w:themeColor="text1"/>
                <w:spacing w:val="8"/>
                <w:kern w:val="0"/>
                <w:sz w:val="24"/>
                <w14:textFill>
                  <w14:solidFill>
                    <w14:schemeClr w14:val="tx1"/>
                  </w14:solidFill>
                </w14:textFill>
              </w:rPr>
              <w:t>1.响应文件的份数：正本</w:t>
            </w:r>
            <w:r>
              <w:rPr>
                <w:rFonts w:ascii="宋体" w:hAnsi="宋体" w:cs="宋体"/>
                <w:color w:val="000000" w:themeColor="text1"/>
                <w:spacing w:val="8"/>
                <w:kern w:val="0"/>
                <w:sz w:val="24"/>
                <w14:textFill>
                  <w14:solidFill>
                    <w14:schemeClr w14:val="tx1"/>
                  </w14:solidFill>
                </w14:textFill>
              </w:rPr>
              <w:t>1</w:t>
            </w:r>
            <w:r>
              <w:rPr>
                <w:rFonts w:hint="eastAsia" w:ascii="宋体" w:hAnsi="宋体" w:cs="宋体"/>
                <w:color w:val="000000" w:themeColor="text1"/>
                <w:spacing w:val="8"/>
                <w:kern w:val="0"/>
                <w:sz w:val="24"/>
                <w14:textFill>
                  <w14:solidFill>
                    <w14:schemeClr w14:val="tx1"/>
                  </w14:solidFill>
                </w14:textFill>
              </w:rPr>
              <w:t>份，副本</w:t>
            </w:r>
            <w:r>
              <w:rPr>
                <w:rFonts w:ascii="宋体" w:hAnsi="宋体" w:cs="宋体"/>
                <w:color w:val="000000" w:themeColor="text1"/>
                <w:spacing w:val="8"/>
                <w:kern w:val="0"/>
                <w:sz w:val="24"/>
                <w14:textFill>
                  <w14:solidFill>
                    <w14:schemeClr w14:val="tx1"/>
                  </w14:solidFill>
                </w14:textFill>
              </w:rPr>
              <w:t>4</w:t>
            </w:r>
            <w:r>
              <w:rPr>
                <w:rFonts w:hint="eastAsia" w:ascii="宋体" w:hAnsi="宋体" w:cs="宋体"/>
                <w:color w:val="000000" w:themeColor="text1"/>
                <w:spacing w:val="8"/>
                <w:kern w:val="0"/>
                <w:sz w:val="24"/>
                <w14:textFill>
                  <w14:solidFill>
                    <w14:schemeClr w14:val="tx1"/>
                  </w14:solidFill>
                </w14:textFill>
              </w:rPr>
              <w:t>份，电子版文件</w:t>
            </w:r>
            <w:r>
              <w:rPr>
                <w:rFonts w:ascii="宋体" w:hAnsi="宋体" w:cs="宋体"/>
                <w:color w:val="000000" w:themeColor="text1"/>
                <w:spacing w:val="8"/>
                <w:kern w:val="0"/>
                <w:sz w:val="24"/>
                <w14:textFill>
                  <w14:solidFill>
                    <w14:schemeClr w14:val="tx1"/>
                  </w14:solidFill>
                </w14:textFill>
              </w:rPr>
              <w:t>1</w:t>
            </w:r>
            <w:r>
              <w:rPr>
                <w:rFonts w:hint="eastAsia" w:ascii="宋体" w:hAnsi="宋体" w:cs="宋体"/>
                <w:color w:val="000000" w:themeColor="text1"/>
                <w:spacing w:val="8"/>
                <w:kern w:val="0"/>
                <w:sz w:val="24"/>
                <w14:textFill>
                  <w14:solidFill>
                    <w14:schemeClr w14:val="tx1"/>
                  </w14:solidFill>
                </w14:textFill>
              </w:rPr>
              <w:t>份。</w:t>
            </w:r>
            <w:r>
              <w:rPr>
                <w:rFonts w:hint="eastAsia" w:ascii="宋体" w:hAnsi="宋体"/>
                <w:color w:val="000000" w:themeColor="text1"/>
                <w:sz w:val="24"/>
                <w14:textFill>
                  <w14:solidFill>
                    <w14:schemeClr w14:val="tx1"/>
                  </w14:solidFill>
                </w14:textFill>
              </w:rPr>
              <w:t>（</w:t>
            </w:r>
            <w:r>
              <w:rPr>
                <w:rFonts w:ascii="宋体" w:hAnsi="宋体"/>
                <w:b/>
                <w:color w:val="000000" w:themeColor="text1"/>
                <w:sz w:val="24"/>
                <w14:textFill>
                  <w14:solidFill>
                    <w14:schemeClr w14:val="tx1"/>
                  </w14:solidFill>
                </w14:textFill>
              </w:rPr>
              <w:t>1.</w:t>
            </w:r>
            <w:r>
              <w:rPr>
                <w:rFonts w:hint="eastAsia" w:ascii="宋体" w:hAnsi="宋体"/>
                <w:b/>
                <w:color w:val="000000" w:themeColor="text1"/>
                <w:sz w:val="24"/>
                <w14:textFill>
                  <w14:solidFill>
                    <w14:schemeClr w14:val="tx1"/>
                  </w14:solidFill>
                </w14:textFill>
              </w:rPr>
              <w:t>全套响应文件：</w:t>
            </w:r>
            <w:r>
              <w:rPr>
                <w:rFonts w:ascii="宋体" w:hAnsi="宋体"/>
                <w:b/>
                <w:color w:val="000000" w:themeColor="text1"/>
                <w:sz w:val="24"/>
                <w14:textFill>
                  <w14:solidFill>
                    <w14:schemeClr w14:val="tx1"/>
                  </w14:solidFill>
                </w14:textFill>
              </w:rPr>
              <w:t>PDF</w:t>
            </w:r>
            <w:r>
              <w:rPr>
                <w:rFonts w:hint="eastAsia" w:ascii="宋体" w:hAnsi="宋体"/>
                <w:b/>
                <w:color w:val="000000" w:themeColor="text1"/>
                <w:sz w:val="24"/>
                <w14:textFill>
                  <w14:solidFill>
                    <w14:schemeClr w14:val="tx1"/>
                  </w14:solidFill>
                </w14:textFill>
              </w:rPr>
              <w:t>格式；</w:t>
            </w:r>
            <w:r>
              <w:rPr>
                <w:rFonts w:ascii="宋体" w:hAnsi="宋体"/>
                <w:b/>
                <w:color w:val="000000" w:themeColor="text1"/>
                <w:sz w:val="24"/>
                <w14:textFill>
                  <w14:solidFill>
                    <w14:schemeClr w14:val="tx1"/>
                  </w14:solidFill>
                </w14:textFill>
              </w:rPr>
              <w:t>2.</w:t>
            </w:r>
            <w:r>
              <w:rPr>
                <w:rFonts w:hint="eastAsia" w:ascii="宋体" w:hAnsi="宋体"/>
                <w:b/>
                <w:color w:val="000000" w:themeColor="text1"/>
                <w:sz w:val="24"/>
                <w14:textFill>
                  <w14:solidFill>
                    <w14:schemeClr w14:val="tx1"/>
                  </w14:solidFill>
                </w14:textFill>
              </w:rPr>
              <w:t>响应文件：</w:t>
            </w:r>
            <w:r>
              <w:rPr>
                <w:rFonts w:ascii="宋体" w:hAnsi="宋体"/>
                <w:b/>
                <w:color w:val="000000" w:themeColor="text1"/>
                <w:sz w:val="24"/>
                <w14:textFill>
                  <w14:solidFill>
                    <w14:schemeClr w14:val="tx1"/>
                  </w14:solidFill>
                </w14:textFill>
              </w:rPr>
              <w:t>word</w:t>
            </w:r>
            <w:r>
              <w:rPr>
                <w:rFonts w:hint="eastAsia" w:ascii="宋体" w:hAnsi="宋体"/>
                <w:b/>
                <w:color w:val="000000" w:themeColor="text1"/>
                <w:sz w:val="24"/>
                <w14:textFill>
                  <w14:solidFill>
                    <w14:schemeClr w14:val="tx1"/>
                  </w14:solidFill>
                </w14:textFill>
              </w:rPr>
              <w:t>版本；</w:t>
            </w:r>
            <w:r>
              <w:rPr>
                <w:rFonts w:ascii="宋体" w:hAnsi="宋体"/>
                <w:b/>
                <w:color w:val="000000" w:themeColor="text1"/>
                <w:sz w:val="24"/>
                <w14:textFill>
                  <w14:solidFill>
                    <w14:schemeClr w14:val="tx1"/>
                  </w14:solidFill>
                </w14:textFill>
              </w:rPr>
              <w:t>3.</w:t>
            </w:r>
            <w:r>
              <w:rPr>
                <w:rFonts w:hint="eastAsia" w:ascii="宋体" w:hAnsi="宋体"/>
                <w:b/>
                <w:color w:val="000000" w:themeColor="text1"/>
                <w:sz w:val="24"/>
                <w14:textFill>
                  <w14:solidFill>
                    <w14:schemeClr w14:val="tx1"/>
                  </w14:solidFill>
                </w14:textFill>
              </w:rPr>
              <w:t>技术偏离表：</w:t>
            </w:r>
            <w:r>
              <w:rPr>
                <w:rFonts w:ascii="宋体" w:hAnsi="宋体"/>
                <w:b/>
                <w:color w:val="000000" w:themeColor="text1"/>
                <w:sz w:val="24"/>
                <w14:textFill>
                  <w14:solidFill>
                    <w14:schemeClr w14:val="tx1"/>
                  </w14:solidFill>
                </w14:textFill>
              </w:rPr>
              <w:t>excel</w:t>
            </w:r>
            <w:r>
              <w:rPr>
                <w:rFonts w:hint="eastAsia" w:ascii="宋体" w:hAnsi="宋体"/>
                <w:b/>
                <w:color w:val="000000" w:themeColor="text1"/>
                <w:sz w:val="24"/>
                <w14:textFill>
                  <w14:solidFill>
                    <w14:schemeClr w14:val="tx1"/>
                  </w14:solidFill>
                </w14:textFill>
              </w:rPr>
              <w:t>版本</w:t>
            </w:r>
            <w:r>
              <w:rPr>
                <w:rFonts w:hint="eastAsia" w:ascii="宋体" w:hAnsi="宋体"/>
                <w:color w:val="000000" w:themeColor="text1"/>
                <w:sz w:val="24"/>
                <w14:textFill>
                  <w14:solidFill>
                    <w14:schemeClr w14:val="tx1"/>
                  </w14:solidFill>
                </w14:textFill>
              </w:rPr>
              <w:t>）</w:t>
            </w:r>
          </w:p>
          <w:p>
            <w:pPr>
              <w:adjustRightInd w:val="0"/>
              <w:snapToGrid w:val="0"/>
              <w:jc w:val="left"/>
              <w:rPr>
                <w:rFonts w:ascii="宋体" w:hAnsi="宋体"/>
                <w:color w:val="000000" w:themeColor="text1"/>
                <w:sz w:val="24"/>
                <w:szCs w:val="24"/>
                <w14:textFill>
                  <w14:solidFill>
                    <w14:schemeClr w14:val="tx1"/>
                  </w14:solidFill>
                </w14:textFill>
              </w:rPr>
            </w:pPr>
            <w:r>
              <w:rPr>
                <w:rFonts w:hint="eastAsia" w:ascii="宋体" w:hAnsi="宋体" w:cs="宋体"/>
                <w:color w:val="000000" w:themeColor="text1"/>
                <w:spacing w:val="8"/>
                <w:kern w:val="0"/>
                <w:sz w:val="24"/>
                <w14:textFill>
                  <w14:solidFill>
                    <w14:schemeClr w14:val="tx1"/>
                  </w14:solidFill>
                </w14:textFill>
              </w:rPr>
              <w:t>2.响应文件必须使用胶装方式封装，</w:t>
            </w:r>
            <w:r>
              <w:rPr>
                <w:rFonts w:hint="eastAsia" w:ascii="宋体" w:hAnsi="宋体"/>
                <w:color w:val="000000" w:themeColor="text1"/>
                <w:sz w:val="24"/>
                <w:szCs w:val="24"/>
                <w14:textFill>
                  <w14:solidFill>
                    <w14:schemeClr w14:val="tx1"/>
                  </w14:solidFill>
                </w14:textFill>
              </w:rPr>
              <w:t>未装订成册的视为作废。</w:t>
            </w:r>
          </w:p>
          <w:p>
            <w:pPr>
              <w:adjustRightInd w:val="0"/>
              <w:snapToGrid w:val="0"/>
              <w:jc w:val="left"/>
              <w:rPr>
                <w:rFonts w:ascii="宋体" w:hAnsi="宋体"/>
                <w:color w:val="000000" w:themeColor="text1"/>
                <w:sz w:val="24"/>
                <w:szCs w:val="24"/>
                <w14:textFill>
                  <w14:solidFill>
                    <w14:schemeClr w14:val="tx1"/>
                  </w14:solidFill>
                </w14:textFill>
              </w:rPr>
            </w:pPr>
            <w:r>
              <w:rPr>
                <w:rFonts w:hint="eastAsia" w:ascii="宋体" w:hAnsi="宋体"/>
                <w:color w:val="000000" w:themeColor="text1"/>
                <w:sz w:val="24"/>
                <w:szCs w:val="24"/>
                <w14:textFill>
                  <w14:solidFill>
                    <w14:schemeClr w14:val="tx1"/>
                  </w14:solidFill>
                </w14:textFill>
              </w:rPr>
              <w:t>3.内外层封套均应注明：采购编号、项目名称、响应人名称、地址、联系人及联系电话。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2.5</w:t>
            </w:r>
          </w:p>
        </w:tc>
        <w:tc>
          <w:tcPr>
            <w:tcW w:w="7744" w:type="dxa"/>
          </w:tcPr>
          <w:p>
            <w:pPr>
              <w:autoSpaceDE w:val="0"/>
              <w:autoSpaceDN w:val="0"/>
              <w:spacing w:line="240" w:lineRule="atLeast"/>
              <w:ind w:left="105" w:right="57" w:hanging="48"/>
              <w:jc w:val="left"/>
              <w:textAlignment w:val="bottom"/>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响应人</w:t>
            </w:r>
            <w:r>
              <w:rPr>
                <w:rFonts w:hint="eastAsia" w:ascii="宋体" w:hAnsi="宋体"/>
                <w:color w:val="000000" w:themeColor="text1"/>
                <w:sz w:val="24"/>
                <w14:textFill>
                  <w14:solidFill>
                    <w14:schemeClr w14:val="tx1"/>
                  </w14:solidFill>
                </w14:textFill>
              </w:rPr>
              <w:t>应严格按照采购文件规定的格式和内容编制响应文件，</w:t>
            </w:r>
            <w:r>
              <w:rPr>
                <w:rFonts w:ascii="宋体" w:hAnsi="宋体"/>
                <w:color w:val="000000" w:themeColor="text1"/>
                <w:sz w:val="24"/>
                <w14:textFill>
                  <w14:solidFill>
                    <w14:schemeClr w14:val="tx1"/>
                  </w14:solidFill>
                </w14:textFill>
              </w:rPr>
              <w:t>要求对本采购文件</w:t>
            </w:r>
            <w:r>
              <w:rPr>
                <w:rFonts w:hint="eastAsia" w:ascii="宋体" w:hAnsi="宋体"/>
                <w:color w:val="000000" w:themeColor="text1"/>
                <w:sz w:val="24"/>
                <w14:textFill>
                  <w14:solidFill>
                    <w14:schemeClr w14:val="tx1"/>
                  </w14:solidFill>
                </w14:textFill>
              </w:rPr>
              <w:t>“采购内容及要求”</w:t>
            </w:r>
            <w:r>
              <w:rPr>
                <w:rFonts w:ascii="宋体" w:hAnsi="宋体"/>
                <w:color w:val="000000" w:themeColor="text1"/>
                <w:sz w:val="24"/>
                <w14:textFill>
                  <w14:solidFill>
                    <w14:schemeClr w14:val="tx1"/>
                  </w14:solidFill>
                </w14:textFill>
              </w:rPr>
              <w:t>所提出各项要求进行逐条逐项答复、说明和解释，</w:t>
            </w:r>
            <w:r>
              <w:rPr>
                <w:rFonts w:hint="eastAsia" w:ascii="宋体" w:hAnsi="宋体"/>
                <w:color w:val="000000" w:themeColor="text1"/>
                <w:sz w:val="24"/>
                <w14:textFill>
                  <w14:solidFill>
                    <w14:schemeClr w14:val="tx1"/>
                  </w14:solidFill>
                </w14:textFill>
              </w:rPr>
              <w:t>并填写在</w:t>
            </w:r>
            <w:r>
              <w:rPr>
                <w:rFonts w:ascii="宋体" w:hAnsi="宋体"/>
                <w:color w:val="000000" w:themeColor="text1"/>
                <w:sz w:val="24"/>
                <w14:textFill>
                  <w14:solidFill>
                    <w14:schemeClr w14:val="tx1"/>
                  </w14:solidFill>
                </w14:textFill>
              </w:rPr>
              <w:t>技术</w:t>
            </w:r>
            <w:r>
              <w:rPr>
                <w:rFonts w:hint="eastAsia" w:ascii="宋体" w:hAnsi="宋体"/>
                <w:color w:val="000000" w:themeColor="text1"/>
                <w:sz w:val="24"/>
                <w14:textFill>
                  <w14:solidFill>
                    <w14:schemeClr w14:val="tx1"/>
                  </w14:solidFill>
                </w14:textFill>
              </w:rPr>
              <w:t>规格响应/</w:t>
            </w:r>
            <w:r>
              <w:rPr>
                <w:rFonts w:ascii="宋体" w:hAnsi="宋体"/>
                <w:color w:val="000000" w:themeColor="text1"/>
                <w:sz w:val="24"/>
                <w14:textFill>
                  <w14:solidFill>
                    <w14:schemeClr w14:val="tx1"/>
                  </w14:solidFill>
                </w14:textFill>
              </w:rPr>
              <w:t>偏离表</w:t>
            </w:r>
            <w:r>
              <w:rPr>
                <w:rFonts w:hint="eastAsia" w:ascii="宋体" w:hAnsi="宋体"/>
                <w:color w:val="000000" w:themeColor="text1"/>
                <w:sz w:val="24"/>
                <w14:textFill>
                  <w14:solidFill>
                    <w14:schemeClr w14:val="tx1"/>
                  </w14:solidFill>
                </w14:textFill>
              </w:rPr>
              <w:t>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2.6</w:t>
            </w:r>
          </w:p>
        </w:tc>
        <w:tc>
          <w:tcPr>
            <w:tcW w:w="7744" w:type="dxa"/>
          </w:tcPr>
          <w:p>
            <w:pPr>
              <w:autoSpaceDE w:val="0"/>
              <w:autoSpaceDN w:val="0"/>
              <w:spacing w:line="240" w:lineRule="atLeast"/>
              <w:ind w:left="57" w:leftChars="27"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1.响应总价中不得缺漏采购文件要求分项报价的内容，响应人响应报价缺漏项达到或超过15%（无论数量或金额），其响应将被否决。</w:t>
            </w:r>
          </w:p>
          <w:p>
            <w:pPr>
              <w:autoSpaceDE w:val="0"/>
              <w:autoSpaceDN w:val="0"/>
              <w:spacing w:line="240" w:lineRule="atLeast"/>
              <w:ind w:left="57" w:leftChars="27"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响应人响应报价缺漏项未达到或超过15%（无论数量或金额），且响应人确认缺漏项已包含在响应总价中，评审时将其他有效响应中该项的最高价计入其评审总价；若响应人确认缺漏项不包含在响应总价中，其响应将被否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2.7</w:t>
            </w:r>
          </w:p>
        </w:tc>
        <w:tc>
          <w:tcPr>
            <w:tcW w:w="7744" w:type="dxa"/>
          </w:tcPr>
          <w:p>
            <w:pPr>
              <w:autoSpaceDE w:val="0"/>
              <w:autoSpaceDN w:val="0"/>
              <w:spacing w:line="240" w:lineRule="atLeast"/>
              <w:ind w:left="105" w:right="57" w:hanging="48"/>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响应人应根据</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采购内容及要求</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中所列货品及要求报价，响应总价中不得包含超出采购文件要求以外的内容，否则在评审时不予核减。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★2.8</w:t>
            </w:r>
          </w:p>
        </w:tc>
        <w:tc>
          <w:tcPr>
            <w:tcW w:w="7744" w:type="dxa"/>
          </w:tcPr>
          <w:p>
            <w:pPr>
              <w:kinsoku w:val="0"/>
              <w:autoSpaceDE w:val="0"/>
              <w:autoSpaceDN w:val="0"/>
              <w:spacing w:line="240" w:lineRule="atLeast"/>
              <w:ind w:left="57"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1．本次采购不接受选择性报价或者有附加条件的报价。</w:t>
            </w:r>
          </w:p>
          <w:p>
            <w:pPr>
              <w:kinsoku w:val="0"/>
              <w:autoSpaceDE w:val="0"/>
              <w:autoSpaceDN w:val="0"/>
              <w:spacing w:line="240" w:lineRule="atLeast"/>
              <w:ind w:left="57" w:right="57"/>
              <w:jc w:val="left"/>
              <w:textAlignment w:val="bottom"/>
              <w:rPr>
                <w:rFonts w:ascii="宋体" w:hAnsi="宋体"/>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2. 不接受联合体响应。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2.9</w:t>
            </w:r>
          </w:p>
        </w:tc>
        <w:tc>
          <w:tcPr>
            <w:tcW w:w="7744" w:type="dxa"/>
          </w:tcPr>
          <w:p>
            <w:pPr>
              <w:kinsoku w:val="0"/>
              <w:autoSpaceDE w:val="0"/>
              <w:autoSpaceDN w:val="0"/>
              <w:spacing w:line="240" w:lineRule="atLeast"/>
              <w:ind w:left="57"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响应文件的每一页都应由单位负责人或其授权代表用姓或首字母签字（包括样本等所有资料），否则其响应将被否决。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8416" w:type="dxa"/>
            <w:gridSpan w:val="2"/>
          </w:tcPr>
          <w:p>
            <w:pPr>
              <w:kinsoku w:val="0"/>
              <w:autoSpaceDE w:val="0"/>
              <w:autoSpaceDN w:val="0"/>
              <w:spacing w:line="240" w:lineRule="atLeast"/>
              <w:ind w:left="29" w:right="57" w:firstLine="28"/>
              <w:jc w:val="center"/>
              <w:textAlignment w:val="bottom"/>
              <w:rPr>
                <w:rFonts w:ascii="宋体" w:hAnsi="宋体"/>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3服务需求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3.1</w:t>
            </w:r>
          </w:p>
        </w:tc>
        <w:tc>
          <w:tcPr>
            <w:tcW w:w="77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预算总金额：592078元（人民币）</w:t>
            </w:r>
          </w:p>
          <w:p>
            <w:pPr>
              <w:pStyle w:val="7"/>
              <w:autoSpaceDE w:val="0"/>
              <w:autoSpaceDN w:val="0"/>
              <w:spacing w:line="360" w:lineRule="auto"/>
              <w:ind w:left="360" w:firstLine="120" w:firstLineChars="5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第一包：办公耗材项目          1家    预算金额：</w:t>
            </w:r>
            <w:r>
              <w:rPr>
                <w:rFonts w:asciiTheme="minorEastAsia" w:hAnsiTheme="minorEastAsia" w:eastAsiaTheme="minorEastAsia"/>
                <w:color w:val="000000" w:themeColor="text1"/>
                <w:sz w:val="24"/>
                <w:szCs w:val="24"/>
                <w14:textFill>
                  <w14:solidFill>
                    <w14:schemeClr w14:val="tx1"/>
                  </w14:solidFill>
                </w14:textFill>
              </w:rPr>
              <w:t>329829</w:t>
            </w:r>
            <w:r>
              <w:rPr>
                <w:rFonts w:hint="eastAsia" w:asciiTheme="minorEastAsia" w:hAnsiTheme="minorEastAsia" w:eastAsiaTheme="minorEastAsia"/>
                <w:color w:val="000000" w:themeColor="text1"/>
                <w:sz w:val="24"/>
                <w:szCs w:val="24"/>
                <w14:textFill>
                  <w14:solidFill>
                    <w14:schemeClr w14:val="tx1"/>
                  </w14:solidFill>
                </w14:textFill>
              </w:rPr>
              <w:t>元</w:t>
            </w:r>
          </w:p>
          <w:p>
            <w:pPr>
              <w:pStyle w:val="7"/>
              <w:autoSpaceDE w:val="0"/>
              <w:autoSpaceDN w:val="0"/>
              <w:spacing w:line="360" w:lineRule="auto"/>
              <w:ind w:left="360" w:firstLine="120" w:firstLineChars="5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第二包：办公用品项目          1家    预算金额：</w:t>
            </w:r>
            <w:r>
              <w:rPr>
                <w:rFonts w:asciiTheme="minorEastAsia" w:hAnsiTheme="minorEastAsia" w:eastAsiaTheme="minorEastAsia"/>
                <w:color w:val="000000" w:themeColor="text1"/>
                <w:sz w:val="24"/>
                <w:szCs w:val="24"/>
                <w14:textFill>
                  <w14:solidFill>
                    <w14:schemeClr w14:val="tx1"/>
                  </w14:solidFill>
                </w14:textFill>
              </w:rPr>
              <w:t>182000</w:t>
            </w:r>
            <w:r>
              <w:rPr>
                <w:rFonts w:hint="eastAsia" w:asciiTheme="minorEastAsia" w:hAnsiTheme="minorEastAsia" w:eastAsiaTheme="minorEastAsia"/>
                <w:color w:val="000000" w:themeColor="text1"/>
                <w:sz w:val="24"/>
                <w:szCs w:val="24"/>
                <w14:textFill>
                  <w14:solidFill>
                    <w14:schemeClr w14:val="tx1"/>
                  </w14:solidFill>
                </w14:textFill>
              </w:rPr>
              <w:t>元</w:t>
            </w:r>
          </w:p>
          <w:p>
            <w:pPr>
              <w:pStyle w:val="7"/>
              <w:autoSpaceDE w:val="0"/>
              <w:autoSpaceDN w:val="0"/>
              <w:spacing w:line="360" w:lineRule="auto"/>
              <w:ind w:left="360" w:firstLine="120" w:firstLineChars="5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第三包：复印纸、打印纸项目    1家    预算金额：</w:t>
            </w:r>
            <w:r>
              <w:rPr>
                <w:rFonts w:asciiTheme="minorEastAsia" w:hAnsiTheme="minorEastAsia" w:eastAsiaTheme="minorEastAsia"/>
                <w:color w:val="000000" w:themeColor="text1"/>
                <w:sz w:val="24"/>
                <w:szCs w:val="24"/>
                <w14:textFill>
                  <w14:solidFill>
                    <w14:schemeClr w14:val="tx1"/>
                  </w14:solidFill>
                </w14:textFill>
              </w:rPr>
              <w:t>80249</w:t>
            </w:r>
            <w:r>
              <w:rPr>
                <w:rFonts w:hint="eastAsia" w:asciiTheme="minorEastAsia" w:hAnsiTheme="minorEastAsia" w:eastAsiaTheme="minorEastAsia"/>
                <w:color w:val="000000" w:themeColor="text1"/>
                <w:sz w:val="24"/>
                <w:szCs w:val="24"/>
                <w14:textFill>
                  <w14:solidFill>
                    <w14:schemeClr w14:val="tx1"/>
                  </w14:solidFill>
                </w14:textFill>
              </w:rPr>
              <w:t>元</w:t>
            </w:r>
          </w:p>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本预算包含增值税及物流运输、配送、搬运等环节中发生的一切费用。若响应报价高于预算限价，其响应将被否决。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3.2</w:t>
            </w:r>
          </w:p>
        </w:tc>
        <w:tc>
          <w:tcPr>
            <w:tcW w:w="7744" w:type="dxa"/>
          </w:tcPr>
          <w:p>
            <w:pPr>
              <w:autoSpaceDE w:val="0"/>
              <w:autoSpaceDN w:val="0"/>
              <w:spacing w:line="240" w:lineRule="atLeast"/>
              <w:ind w:left="107"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资金性质：自筹资金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3.3</w:t>
            </w:r>
          </w:p>
        </w:tc>
        <w:tc>
          <w:tcPr>
            <w:tcW w:w="7744" w:type="dxa"/>
          </w:tcPr>
          <w:p>
            <w:pPr>
              <w:autoSpaceDE w:val="0"/>
              <w:autoSpaceDN w:val="0"/>
              <w:spacing w:line="240" w:lineRule="atLeast"/>
              <w:ind w:left="57"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响应货币：人民币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3.4</w:t>
            </w:r>
          </w:p>
        </w:tc>
        <w:tc>
          <w:tcPr>
            <w:tcW w:w="77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交付时间：合同签订后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3.5</w:t>
            </w:r>
          </w:p>
        </w:tc>
        <w:tc>
          <w:tcPr>
            <w:tcW w:w="77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交付地点：按采购人要求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8416" w:type="dxa"/>
            <w:gridSpan w:val="2"/>
          </w:tcPr>
          <w:p>
            <w:pPr>
              <w:kinsoku w:val="0"/>
              <w:autoSpaceDE w:val="0"/>
              <w:autoSpaceDN w:val="0"/>
              <w:spacing w:line="240" w:lineRule="atLeast"/>
              <w:ind w:left="29" w:right="57" w:firstLine="28"/>
              <w:jc w:val="center"/>
              <w:textAlignment w:val="bottom"/>
              <w:rPr>
                <w:rFonts w:ascii="宋体" w:hAnsi="宋体"/>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4评审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4.1</w:t>
            </w:r>
          </w:p>
        </w:tc>
        <w:tc>
          <w:tcPr>
            <w:tcW w:w="7744" w:type="dxa"/>
          </w:tcPr>
          <w:p>
            <w:pPr>
              <w:kinsoku w:val="0"/>
              <w:autoSpaceDE w:val="0"/>
              <w:autoSpaceDN w:val="0"/>
              <w:spacing w:line="240" w:lineRule="atLeast"/>
              <w:ind w:right="57" w:firstLine="57"/>
              <w:jc w:val="left"/>
              <w:textAlignment w:val="bottom"/>
              <w:rPr>
                <w:b/>
                <w:color w:val="000000" w:themeColor="text1"/>
                <w14:textFill>
                  <w14:solidFill>
                    <w14:schemeClr w14:val="tx1"/>
                  </w14:solidFill>
                </w14:textFill>
              </w:rPr>
            </w:pPr>
            <w:r>
              <w:rPr>
                <w:rFonts w:hint="eastAsia" w:ascii="宋体" w:hAnsi="宋体"/>
                <w:color w:val="000000" w:themeColor="text1"/>
                <w:sz w:val="24"/>
                <w14:textFill>
                  <w14:solidFill>
                    <w14:schemeClr w14:val="tx1"/>
                  </w14:solidFill>
                </w14:textFill>
              </w:rPr>
              <w:t>评审原则及方法：采用综合评分法进行评审。本次评审委员会成员由</w:t>
            </w:r>
            <w:r>
              <w:rPr>
                <w:rFonts w:ascii="宋体" w:hAnsi="宋体"/>
                <w:color w:val="000000" w:themeColor="text1"/>
                <w:sz w:val="24"/>
                <w14:textFill>
                  <w14:solidFill>
                    <w14:schemeClr w14:val="tx1"/>
                  </w14:solidFill>
                </w14:textFill>
              </w:rPr>
              <w:t>5</w:t>
            </w:r>
            <w:r>
              <w:rPr>
                <w:rFonts w:hint="eastAsia" w:ascii="宋体" w:hAnsi="宋体"/>
                <w:color w:val="000000" w:themeColor="text1"/>
                <w:sz w:val="24"/>
                <w14:textFill>
                  <w14:solidFill>
                    <w14:schemeClr w14:val="tx1"/>
                  </w14:solidFill>
                </w14:textFill>
              </w:rPr>
              <w:t>人组成，评审委员会成员对每个包件所有的响应文件进行独立评审、评价、打分，得出每个包件各响应人的综合得分，并计算出平均分值，按平均分值的高低依次排名，推荐每个包件得分最高的响应单位为成交候选人。响应总价中也不得缺漏采购文件要求分项报价的内容，否则评审时将有效响应中该项内容的最高价计入其评审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w:t>
            </w:r>
            <w:r>
              <w:rPr>
                <w:rFonts w:ascii="宋体" w:hAnsi="宋体"/>
                <w:color w:val="000000" w:themeColor="text1"/>
                <w:sz w:val="24"/>
                <w14:textFill>
                  <w14:solidFill>
                    <w14:schemeClr w14:val="tx1"/>
                  </w14:solidFill>
                </w14:textFill>
              </w:rPr>
              <w:t>.2</w:t>
            </w:r>
          </w:p>
        </w:tc>
        <w:tc>
          <w:tcPr>
            <w:tcW w:w="7744" w:type="dxa"/>
          </w:tcPr>
          <w:p>
            <w:pPr>
              <w:tabs>
                <w:tab w:val="left" w:pos="1050"/>
              </w:tabs>
              <w:kinsoku w:val="0"/>
              <w:autoSpaceDE w:val="0"/>
              <w:autoSpaceDN w:val="0"/>
              <w:spacing w:line="240" w:lineRule="atLeast"/>
              <w:ind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1）响应人的响应文件中加注“★”号的关键技术参数有偏离的，其技术部分不得分。</w:t>
            </w:r>
          </w:p>
          <w:p>
            <w:pPr>
              <w:tabs>
                <w:tab w:val="left" w:pos="1050"/>
              </w:tabs>
              <w:kinsoku w:val="0"/>
              <w:autoSpaceDE w:val="0"/>
              <w:autoSpaceDN w:val="0"/>
              <w:spacing w:line="240" w:lineRule="atLeast"/>
              <w:ind w:right="57"/>
              <w:jc w:val="left"/>
              <w:textAlignment w:val="bottom"/>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）响应人的响应文件中未加注“★”号的一般技术参数有1项偏离，技术部分扣3分，以此类推；偏离超过5项（包括5项），其响应将被否决。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4.3</w:t>
            </w:r>
          </w:p>
        </w:tc>
        <w:tc>
          <w:tcPr>
            <w:tcW w:w="7744" w:type="dxa"/>
          </w:tcPr>
          <w:p>
            <w:pPr>
              <w:tabs>
                <w:tab w:val="left" w:pos="1050"/>
              </w:tabs>
              <w:kinsoku w:val="0"/>
              <w:autoSpaceDE w:val="0"/>
              <w:autoSpaceDN w:val="0"/>
              <w:spacing w:line="240" w:lineRule="atLeast"/>
              <w:ind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评审委员会按包件前后顺序进行评审，确定每个包件综合得分最高的响应单位为成交候选人，每个供应商最多只能承担一个包件的服务工作（即前序包件的成交候选人在后序包件中仅参与评分，不进行排序。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4.4</w:t>
            </w:r>
          </w:p>
        </w:tc>
        <w:tc>
          <w:tcPr>
            <w:tcW w:w="7744" w:type="dxa"/>
          </w:tcPr>
          <w:p>
            <w:pPr>
              <w:tabs>
                <w:tab w:val="left" w:pos="1050"/>
              </w:tabs>
              <w:kinsoku w:val="0"/>
              <w:autoSpaceDE w:val="0"/>
              <w:autoSpaceDN w:val="0"/>
              <w:spacing w:line="240" w:lineRule="atLeast"/>
              <w:ind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具体评分标准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p>
        </w:tc>
        <w:tc>
          <w:tcPr>
            <w:tcW w:w="7744" w:type="dxa"/>
          </w:tcPr>
          <w:tbl>
            <w:tblPr>
              <w:tblStyle w:val="4"/>
              <w:tblW w:w="7667" w:type="dxa"/>
              <w:tblInd w:w="5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01"/>
              <w:gridCol w:w="622"/>
              <w:gridCol w:w="544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69" w:hRule="atLeast"/>
              </w:trPr>
              <w:tc>
                <w:tcPr>
                  <w:tcW w:w="1601" w:type="dxa"/>
                  <w:vAlign w:val="center"/>
                </w:tcPr>
                <w:p>
                  <w:pPr>
                    <w:spacing w:before="100" w:beforeAutospacing="1" w:after="100" w:afterAutospacing="1" w:line="360" w:lineRule="auto"/>
                    <w:jc w:val="center"/>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评分内容</w:t>
                  </w:r>
                </w:p>
              </w:tc>
              <w:tc>
                <w:tcPr>
                  <w:tcW w:w="622" w:type="dxa"/>
                  <w:vAlign w:val="center"/>
                </w:tcPr>
                <w:p>
                  <w:pPr>
                    <w:spacing w:before="100" w:beforeAutospacing="1" w:after="100" w:afterAutospacing="1" w:line="360" w:lineRule="auto"/>
                    <w:jc w:val="center"/>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分值</w:t>
                  </w:r>
                </w:p>
              </w:tc>
              <w:tc>
                <w:tcPr>
                  <w:tcW w:w="5444" w:type="dxa"/>
                  <w:vAlign w:val="center"/>
                </w:tcPr>
                <w:p>
                  <w:pPr>
                    <w:spacing w:before="100" w:beforeAutospacing="1" w:after="100" w:afterAutospacing="1" w:line="360" w:lineRule="auto"/>
                    <w:jc w:val="center"/>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01" w:type="dxa"/>
                </w:tcPr>
                <w:p>
                  <w:pPr>
                    <w:kinsoku w:val="0"/>
                    <w:autoSpaceDE w:val="0"/>
                    <w:autoSpaceDN w:val="0"/>
                    <w:spacing w:before="100" w:beforeAutospacing="1" w:after="100" w:afterAutospacing="1" w:line="360" w:lineRule="auto"/>
                    <w:ind w:right="57"/>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(一)报价部分</w:t>
                  </w:r>
                </w:p>
              </w:tc>
              <w:tc>
                <w:tcPr>
                  <w:tcW w:w="622" w:type="dxa"/>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20分</w:t>
                  </w:r>
                </w:p>
              </w:tc>
              <w:tc>
                <w:tcPr>
                  <w:tcW w:w="54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报价得分＝报价分值×（评审基准价</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评审价）,响应报价超过最高响应限价的将导致其标被否决。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87" w:hRule="atLeast"/>
              </w:trPr>
              <w:tc>
                <w:tcPr>
                  <w:tcW w:w="1601" w:type="dxa"/>
                  <w:vAlign w:val="center"/>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(二)技术部分</w:t>
                  </w:r>
                </w:p>
              </w:tc>
              <w:tc>
                <w:tcPr>
                  <w:tcW w:w="622" w:type="dxa"/>
                  <w:vAlign w:val="center"/>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40分</w:t>
                  </w:r>
                </w:p>
              </w:tc>
              <w:tc>
                <w:tcPr>
                  <w:tcW w:w="5444" w:type="dxa"/>
                  <w:vAlign w:val="center"/>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01" w:type="dxa"/>
                </w:tcPr>
                <w:p>
                  <w:pPr>
                    <w:kinsoku w:val="0"/>
                    <w:autoSpaceDE w:val="0"/>
                    <w:autoSpaceDN w:val="0"/>
                    <w:spacing w:before="100" w:beforeAutospacing="1" w:after="100" w:afterAutospacing="1" w:line="360" w:lineRule="auto"/>
                    <w:ind w:right="57"/>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服务方案及响应</w:t>
                  </w:r>
                </w:p>
              </w:tc>
              <w:tc>
                <w:tcPr>
                  <w:tcW w:w="622" w:type="dxa"/>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40分</w:t>
                  </w:r>
                </w:p>
              </w:tc>
              <w:tc>
                <w:tcPr>
                  <w:tcW w:w="54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响应人所提供货品的技术要求应满足第三章“采购内容及要求”中所规定的要求。</w:t>
                  </w:r>
                </w:p>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1）其成交注“★”号的为关键技术参数，对任一关键技术参数的偏离，本项不得分；</w:t>
                  </w:r>
                </w:p>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2）其他的为一般技术参数，低于采购文件要求，有一项减3分；</w:t>
                  </w:r>
                </w:p>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3）有超过5项一般技术参数偏离的，本项不得分。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1" w:hRule="atLeast"/>
              </w:trPr>
              <w:tc>
                <w:tcPr>
                  <w:tcW w:w="1601" w:type="dxa"/>
                  <w:vAlign w:val="center"/>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(三)商务部分</w:t>
                  </w:r>
                </w:p>
              </w:tc>
              <w:tc>
                <w:tcPr>
                  <w:tcW w:w="622" w:type="dxa"/>
                  <w:vAlign w:val="center"/>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40分</w:t>
                  </w:r>
                </w:p>
              </w:tc>
              <w:tc>
                <w:tcPr>
                  <w:tcW w:w="5444" w:type="dxa"/>
                  <w:vAlign w:val="center"/>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01" w:type="dxa"/>
                </w:tcPr>
                <w:p>
                  <w:pPr>
                    <w:kinsoku w:val="0"/>
                    <w:autoSpaceDE w:val="0"/>
                    <w:autoSpaceDN w:val="0"/>
                    <w:spacing w:before="100" w:beforeAutospacing="1" w:after="100" w:afterAutospacing="1" w:line="360" w:lineRule="auto"/>
                    <w:ind w:right="57"/>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综合实力</w:t>
                  </w:r>
                </w:p>
              </w:tc>
              <w:tc>
                <w:tcPr>
                  <w:tcW w:w="622" w:type="dxa"/>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5分</w:t>
                  </w:r>
                </w:p>
              </w:tc>
              <w:tc>
                <w:tcPr>
                  <w:tcW w:w="54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根据响应人的企业规模等情况进行综合评审。</w:t>
                  </w:r>
                </w:p>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综合评分为优：得5分（含）；良：得3-4分（含）；一般：得1-2分（含）；差：得0分（含）。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01" w:type="dxa"/>
                </w:tcPr>
                <w:p>
                  <w:pPr>
                    <w:kinsoku w:val="0"/>
                    <w:autoSpaceDE w:val="0"/>
                    <w:autoSpaceDN w:val="0"/>
                    <w:spacing w:before="100" w:beforeAutospacing="1" w:after="100" w:afterAutospacing="1" w:line="360" w:lineRule="auto"/>
                    <w:ind w:right="57"/>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同类项目的应用方案</w:t>
                  </w:r>
                </w:p>
              </w:tc>
              <w:tc>
                <w:tcPr>
                  <w:tcW w:w="622" w:type="dxa"/>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20分</w:t>
                  </w:r>
                </w:p>
              </w:tc>
              <w:tc>
                <w:tcPr>
                  <w:tcW w:w="54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根据响应人的</w:t>
                  </w:r>
                  <w:r>
                    <w:rPr>
                      <w:rFonts w:hint="eastAsia" w:ascii="宋体" w:hAnsi="宋体"/>
                      <w:color w:val="000000" w:themeColor="text1"/>
                      <w:kern w:val="0"/>
                      <w:sz w:val="24"/>
                      <w14:textFill>
                        <w14:solidFill>
                          <w14:schemeClr w14:val="tx1"/>
                        </w14:solidFill>
                      </w14:textFill>
                    </w:rPr>
                    <w:t>同类项目的应用方案</w:t>
                  </w:r>
                  <w:r>
                    <w:rPr>
                      <w:rFonts w:hint="eastAsia" w:ascii="宋体" w:hAnsi="宋体"/>
                      <w:color w:val="000000" w:themeColor="text1"/>
                      <w:sz w:val="24"/>
                      <w14:textFill>
                        <w14:solidFill>
                          <w14:schemeClr w14:val="tx1"/>
                        </w14:solidFill>
                      </w14:textFill>
                    </w:rPr>
                    <w:t>等情况进行综合评审。</w:t>
                  </w:r>
                </w:p>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综合评分为优：得15-20分（含）；良：得10-15分（含）；一般：得5-10分（含）；差：得1-5分（含）。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01" w:type="dxa"/>
                </w:tcPr>
                <w:p>
                  <w:pPr>
                    <w:kinsoku w:val="0"/>
                    <w:autoSpaceDE w:val="0"/>
                    <w:autoSpaceDN w:val="0"/>
                    <w:spacing w:before="100" w:beforeAutospacing="1" w:after="100" w:afterAutospacing="1" w:line="360" w:lineRule="auto"/>
                    <w:ind w:right="57"/>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服务质量承诺及伴随服务</w:t>
                  </w:r>
                </w:p>
              </w:tc>
              <w:tc>
                <w:tcPr>
                  <w:tcW w:w="622" w:type="dxa"/>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7分</w:t>
                  </w:r>
                </w:p>
              </w:tc>
              <w:tc>
                <w:tcPr>
                  <w:tcW w:w="54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综合评分为优：得6-7分（含）；良：得5-6分（含）；一般：得3-4分（含）；差：得1-2分（含）。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01" w:type="dxa"/>
                </w:tcPr>
                <w:p>
                  <w:pPr>
                    <w:kinsoku w:val="0"/>
                    <w:autoSpaceDE w:val="0"/>
                    <w:autoSpaceDN w:val="0"/>
                    <w:spacing w:before="100" w:beforeAutospacing="1" w:after="100" w:afterAutospacing="1" w:line="360" w:lineRule="auto"/>
                    <w:ind w:right="57"/>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售后服务</w:t>
                  </w:r>
                </w:p>
              </w:tc>
              <w:tc>
                <w:tcPr>
                  <w:tcW w:w="622" w:type="dxa"/>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5分</w:t>
                  </w:r>
                </w:p>
              </w:tc>
              <w:tc>
                <w:tcPr>
                  <w:tcW w:w="54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综合评分为优：得5分（含）；良：得3-4分（含）；一般：得2分（含）；差：得1分（含）。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01" w:type="dxa"/>
                </w:tcPr>
                <w:p>
                  <w:pPr>
                    <w:kinsoku w:val="0"/>
                    <w:autoSpaceDE w:val="0"/>
                    <w:autoSpaceDN w:val="0"/>
                    <w:spacing w:before="100" w:beforeAutospacing="1" w:after="100" w:afterAutospacing="1" w:line="360" w:lineRule="auto"/>
                    <w:ind w:right="57"/>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响应文件编制</w:t>
                  </w:r>
                </w:p>
              </w:tc>
              <w:tc>
                <w:tcPr>
                  <w:tcW w:w="622" w:type="dxa"/>
                </w:tcPr>
                <w:p>
                  <w:pPr>
                    <w:kinsoku w:val="0"/>
                    <w:autoSpaceDE w:val="0"/>
                    <w:autoSpaceDN w:val="0"/>
                    <w:spacing w:before="100" w:beforeAutospacing="1" w:after="100" w:afterAutospacing="1" w:line="360" w:lineRule="auto"/>
                    <w:ind w:right="57"/>
                    <w:jc w:val="center"/>
                    <w:textAlignment w:val="bottom"/>
                    <w:rPr>
                      <w:rFonts w:ascii="宋体" w:hAnsi="宋体"/>
                      <w:color w:val="000000" w:themeColor="text1"/>
                      <w:kern w:val="0"/>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3分</w:t>
                  </w:r>
                </w:p>
              </w:tc>
              <w:tc>
                <w:tcPr>
                  <w:tcW w:w="5444" w:type="dxa"/>
                </w:tcPr>
                <w:p>
                  <w:pPr>
                    <w:kinsoku w:val="0"/>
                    <w:autoSpaceDE w:val="0"/>
                    <w:autoSpaceDN w:val="0"/>
                    <w:spacing w:line="240" w:lineRule="atLeast"/>
                    <w:ind w:right="57" w:firstLine="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根据响应人编制文件的情况酌情评分</w:t>
                  </w:r>
                </w:p>
              </w:tc>
            </w:tr>
          </w:tbl>
          <w:p>
            <w:pPr>
              <w:tabs>
                <w:tab w:val="left" w:pos="1050"/>
              </w:tabs>
              <w:kinsoku w:val="0"/>
              <w:autoSpaceDE w:val="0"/>
              <w:autoSpaceDN w:val="0"/>
              <w:spacing w:line="240" w:lineRule="atLeast"/>
              <w:ind w:right="57"/>
              <w:jc w:val="left"/>
              <w:textAlignment w:val="bottom"/>
              <w:rPr>
                <w:rFonts w:ascii="宋体" w:hAnsi="宋体"/>
                <w:color w:val="000000" w:themeColor="text1"/>
                <w:sz w:val="24"/>
                <w:szCs w:val="24"/>
                <w14:textFill>
                  <w14:solidFill>
                    <w14:schemeClr w14:val="tx1"/>
                  </w14:solidFill>
                </w14:textFill>
              </w:rPr>
            </w:pPr>
            <w:r>
              <w:rPr>
                <w:rFonts w:hint="eastAsia" w:cs="宋体"/>
                <w:color w:val="000000" w:themeColor="text1"/>
                <w:spacing w:val="8"/>
                <w:kern w:val="0"/>
                <w:sz w:val="24"/>
                <w:szCs w:val="24"/>
                <w14:textFill>
                  <w14:solidFill>
                    <w14:schemeClr w14:val="tx1"/>
                  </w14:solidFill>
                </w14:textFill>
              </w:rPr>
              <w:t>打分精确到小数点后一位。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8416" w:type="dxa"/>
            <w:gridSpan w:val="2"/>
          </w:tcPr>
          <w:p>
            <w:pPr>
              <w:kinsoku w:val="0"/>
              <w:autoSpaceDE w:val="0"/>
              <w:autoSpaceDN w:val="0"/>
              <w:spacing w:line="240" w:lineRule="atLeast"/>
              <w:ind w:left="29" w:right="57" w:firstLine="28"/>
              <w:jc w:val="center"/>
              <w:textAlignment w:val="bottom"/>
              <w:rPr>
                <w:rFonts w:ascii="宋体" w:hAns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5其他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5.1</w:t>
            </w:r>
          </w:p>
        </w:tc>
        <w:tc>
          <w:tcPr>
            <w:tcW w:w="7744" w:type="dxa"/>
          </w:tcPr>
          <w:p>
            <w:pPr>
              <w:tabs>
                <w:tab w:val="left" w:pos="351"/>
              </w:tabs>
              <w:kinsoku w:val="0"/>
              <w:autoSpaceDE w:val="0"/>
              <w:autoSpaceDN w:val="0"/>
              <w:spacing w:line="240" w:lineRule="atLeast"/>
              <w:ind w:left="57"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本采购文件所涵盖的服务必须按</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采购内容及要求</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中规定的合同交付期交货。对提前交付者不考虑降低评审价。对提交“推迟交付计划”的响应可以接受，但每延期一周其评审价将在响应总价的基础上增加</w:t>
            </w:r>
            <w:r>
              <w:rPr>
                <w:rFonts w:ascii="宋体" w:hAnsi="宋体"/>
                <w:color w:val="000000" w:themeColor="text1"/>
                <w:sz w:val="24"/>
                <w14:textFill>
                  <w14:solidFill>
                    <w14:schemeClr w14:val="tx1"/>
                  </w14:solidFill>
                </w14:textFill>
              </w:rPr>
              <w:t>0.</w:t>
            </w:r>
            <w:r>
              <w:rPr>
                <w:rFonts w:hint="eastAsia" w:ascii="宋体" w:hAnsi="宋体"/>
                <w:color w:val="000000" w:themeColor="text1"/>
                <w:sz w:val="24"/>
                <w14:textFill>
                  <w14:solidFill>
                    <w14:schemeClr w14:val="tx1"/>
                  </w14:solidFill>
                </w14:textFill>
              </w:rPr>
              <w:t>5</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。迟于规定交付计划超过1个月交货的响应将被否决。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cantSplit/>
        </w:trPr>
        <w:tc>
          <w:tcPr>
            <w:tcW w:w="672" w:type="dxa"/>
          </w:tcPr>
          <w:p>
            <w:pPr>
              <w:kinsoku w:val="0"/>
              <w:autoSpaceDE w:val="0"/>
              <w:autoSpaceDN w:val="0"/>
              <w:spacing w:before="40" w:line="240" w:lineRule="atLeast"/>
              <w:jc w:val="center"/>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5.2</w:t>
            </w:r>
          </w:p>
        </w:tc>
        <w:tc>
          <w:tcPr>
            <w:tcW w:w="7744" w:type="dxa"/>
          </w:tcPr>
          <w:p>
            <w:pPr>
              <w:tabs>
                <w:tab w:val="left" w:pos="351"/>
              </w:tabs>
              <w:kinsoku w:val="0"/>
              <w:autoSpaceDE w:val="0"/>
              <w:autoSpaceDN w:val="0"/>
              <w:spacing w:line="240" w:lineRule="atLeast"/>
              <w:ind w:left="57" w:right="57"/>
              <w:jc w:val="left"/>
              <w:textAlignment w:val="bottom"/>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本项目不接受联合体响应。</w:t>
            </w:r>
          </w:p>
        </w:tc>
      </w:tr>
    </w:tbl>
    <w:p>
      <w:pPr>
        <w:jc w:val="left"/>
        <w:rPr>
          <w:color w:val="000000" w:themeColor="text1"/>
          <w14:textFill>
            <w14:solidFill>
              <w14:schemeClr w14:val="tx1"/>
            </w14:solidFill>
          </w14:textFill>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华文仿宋">
    <w:panose1 w:val="02010600040101010101"/>
    <w:charset w:val="86"/>
    <w:family w:val="auto"/>
    <w:pitch w:val="default"/>
    <w:sig w:usb0="00000287" w:usb1="080F0000" w:usb2="00000000" w:usb3="00000000" w:csb0="0004009F" w:csb1="DFD70000"/>
  </w:font>
  <w:font w:name="Courier New">
    <w:panose1 w:val="02070309020205020404"/>
    <w:charset w:val="00"/>
    <w:family w:val="modern"/>
    <w:pitch w:val="default"/>
    <w:sig w:usb0="E0002EFF" w:usb1="C0007843" w:usb2="00000009" w:usb3="00000000" w:csb0="400001FF" w:csb1="FFFF0000"/>
  </w:font>
  <w:font w:name="MS Gothic">
    <w:panose1 w:val="020B0609070205080204"/>
    <w:charset w:val="80"/>
    <w:family w:val="modern"/>
    <w:pitch w:val="default"/>
    <w:sig w:usb0="E00002FF" w:usb1="6AC7FDFB" w:usb2="08000012" w:usb3="00000000" w:csb0="4002009F" w:csb1="DFD70000"/>
  </w:font>
  <w:font w:name="Arial">
    <w:panose1 w:val="020B0604020202020204"/>
    <w:charset w:val="00"/>
    <w:family w:val="swiss"/>
    <w:pitch w:val="default"/>
    <w:sig w:usb0="E0002EFF" w:usb1="C000785B" w:usb2="00000009" w:usb3="00000000" w:csb0="400001FF" w:csb1="FFFF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BC4A1E"/>
    <w:multiLevelType w:val="multilevel"/>
    <w:tmpl w:val="1EBC4A1E"/>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B10605"/>
    <w:rsid w:val="2AB106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Indent"/>
    <w:basedOn w:val="1"/>
    <w:uiPriority w:val="0"/>
    <w:pPr>
      <w:ind w:firstLine="420"/>
    </w:pPr>
  </w:style>
  <w:style w:type="paragraph" w:customStyle="1" w:styleId="5">
    <w:name w:val="bds"/>
    <w:basedOn w:val="1"/>
    <w:uiPriority w:val="0"/>
    <w:pPr>
      <w:keepNext/>
      <w:keepLines/>
      <w:autoSpaceDE w:val="0"/>
      <w:autoSpaceDN w:val="0"/>
      <w:spacing w:before="260" w:after="260" w:line="360" w:lineRule="exact"/>
      <w:jc w:val="center"/>
      <w:outlineLvl w:val="2"/>
    </w:pPr>
    <w:rPr>
      <w:rFonts w:eastAsia="华文仿宋"/>
      <w:b/>
      <w:sz w:val="36"/>
    </w:rPr>
  </w:style>
  <w:style w:type="paragraph" w:customStyle="1" w:styleId="6">
    <w:name w:val="List Paragraph"/>
    <w:basedOn w:val="1"/>
    <w:qFormat/>
    <w:uiPriority w:val="34"/>
    <w:pPr>
      <w:ind w:firstLine="420" w:firstLineChars="200"/>
    </w:pPr>
  </w:style>
  <w:style w:type="paragraph" w:customStyle="1" w:styleId="7">
    <w:name w:val="ifb-1"/>
    <w:basedOn w:val="1"/>
    <w:qFormat/>
    <w:uiPriority w:val="0"/>
    <w:pPr>
      <w:ind w:left="420" w:hanging="420"/>
    </w:pPr>
    <w:rPr>
      <w:rFonts w:ascii="楷体_GB2312" w:eastAsia="楷体_GB231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Office_10.1.0.6490_F1E327BC-269C-435d-A152-05C5408002CA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2019-12-27T07:59:00Z</dcterms:created>
  <dc:creator>semmer</dc:creator>
  <cp:lastModifiedBy>semmer</cp:lastModifiedBy>
  <dcterms:modified xsi:type="dcterms:W3CDTF">2019-12-27T07:59:52Z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2052-10.1.0.6490</vt:lpwstr>
  </property>
</Properties>
</file>